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9C" w:rsidRPr="00A93F2C" w:rsidRDefault="0095489C" w:rsidP="0095489C">
      <w:pPr>
        <w:pStyle w:val="Appendix1"/>
      </w:pPr>
      <w:r>
        <w:fldChar w:fldCharType="begin"/>
      </w:r>
      <w:r>
        <w:instrText xml:space="preserve"> HYPERLINK "https://www.uvic.ca/vpacademic/assets/docs/Collective%20Agreement.pdf" </w:instrText>
      </w:r>
      <w:r>
        <w:fldChar w:fldCharType="separate"/>
      </w:r>
      <w:bookmarkStart w:id="0" w:name="_Toc25840721"/>
      <w:r w:rsidRPr="00A93F2C">
        <w:t>Appendix</w:t>
      </w:r>
      <w:r>
        <w:fldChar w:fldCharType="end"/>
      </w:r>
      <w:r w:rsidRPr="00A93F2C">
        <w:t xml:space="preserve"> 1</w:t>
      </w:r>
      <w:r>
        <w:t>9</w:t>
      </w:r>
      <w:r w:rsidRPr="00A93F2C">
        <w:t>: Checkli</w:t>
      </w:r>
      <w:bookmarkStart w:id="1" w:name="Appendix19"/>
      <w:bookmarkEnd w:id="1"/>
      <w:r w:rsidRPr="00A93F2C">
        <w:t>st for Department On</w:t>
      </w:r>
      <w:r>
        <w:t>-</w:t>
      </w:r>
      <w:r w:rsidRPr="00A93F2C">
        <w:t>Boarding</w:t>
      </w:r>
      <w:bookmarkEnd w:id="0"/>
      <w:r w:rsidRPr="00A93F2C">
        <w:t xml:space="preserve"> </w:t>
      </w:r>
    </w:p>
    <w:p w:rsidR="0095489C" w:rsidRPr="0026345E" w:rsidRDefault="0095489C" w:rsidP="0095489C">
      <w:pPr>
        <w:pStyle w:val="Header"/>
        <w:tabs>
          <w:tab w:val="center" w:pos="1350"/>
        </w:tabs>
        <w:ind w:left="450"/>
        <w:jc w:val="center"/>
        <w:rPr>
          <w:rFonts w:cstheme="minorHAnsi"/>
          <w:i/>
          <w:sz w:val="20"/>
          <w:szCs w:val="20"/>
        </w:rPr>
      </w:pPr>
      <w:r w:rsidRPr="0026345E">
        <w:rPr>
          <w:rFonts w:cstheme="minorHAnsi"/>
          <w:i/>
          <w:sz w:val="20"/>
          <w:szCs w:val="20"/>
        </w:rPr>
        <w:t xml:space="preserve">Please customize this condensed </w:t>
      </w:r>
      <w:r>
        <w:rPr>
          <w:rFonts w:cstheme="minorHAnsi"/>
          <w:i/>
          <w:sz w:val="20"/>
          <w:szCs w:val="20"/>
        </w:rPr>
        <w:t xml:space="preserve">onboarding </w:t>
      </w:r>
      <w:r w:rsidRPr="0026345E">
        <w:rPr>
          <w:rFonts w:cstheme="minorHAnsi"/>
          <w:i/>
          <w:sz w:val="20"/>
          <w:szCs w:val="20"/>
        </w:rPr>
        <w:t>checklist according to your Department/Faculty’s requirements.</w:t>
      </w:r>
    </w:p>
    <w:p w:rsidR="0095489C" w:rsidRPr="00CD115B" w:rsidRDefault="0095489C" w:rsidP="0095489C">
      <w:pPr>
        <w:rPr>
          <w:b/>
          <w:color w:val="222A35" w:themeColor="text2" w:themeShade="80"/>
          <w:sz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919"/>
        <w:gridCol w:w="900"/>
        <w:gridCol w:w="1078"/>
      </w:tblGrid>
      <w:tr w:rsidR="0095489C" w:rsidRPr="00486FA9" w:rsidTr="003D391E">
        <w:trPr>
          <w:cantSplit/>
        </w:trPr>
        <w:tc>
          <w:tcPr>
            <w:tcW w:w="9897" w:type="dxa"/>
            <w:gridSpan w:val="3"/>
            <w:shd w:val="clear" w:color="auto" w:fill="002E5D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 w:rsidRPr="00486FA9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New Faculty/Librarian:</w:t>
            </w:r>
          </w:p>
        </w:tc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b/>
                <w:color w:val="002E5D"/>
                <w:sz w:val="21"/>
                <w:szCs w:val="21"/>
              </w:rPr>
            </w:pPr>
            <w:r w:rsidRPr="00486FA9">
              <w:rPr>
                <w:rFonts w:cstheme="minorHAnsi"/>
                <w:b/>
                <w:color w:val="002E5D"/>
                <w:sz w:val="21"/>
                <w:szCs w:val="21"/>
              </w:rPr>
              <w:t>Getting Prepared – Before You Start</w:t>
            </w:r>
          </w:p>
        </w:tc>
        <w:tc>
          <w:tcPr>
            <w:tcW w:w="90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86FA9">
              <w:rPr>
                <w:rFonts w:cstheme="minorHAnsi"/>
                <w:b/>
                <w:sz w:val="21"/>
                <w:szCs w:val="21"/>
              </w:rPr>
              <w:t>Yes</w:t>
            </w:r>
          </w:p>
        </w:tc>
        <w:tc>
          <w:tcPr>
            <w:tcW w:w="1078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86FA9">
              <w:rPr>
                <w:rFonts w:cstheme="minorHAnsi"/>
                <w:b/>
                <w:sz w:val="21"/>
                <w:szCs w:val="21"/>
              </w:rPr>
              <w:t>Not Required</w:t>
            </w:r>
          </w:p>
        </w:tc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Use your V (V#000000) to create a </w:t>
            </w:r>
            <w:hyperlink r:id="rId7" w:history="1">
              <w:proofErr w:type="spellStart"/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Netlink</w:t>
              </w:r>
              <w:proofErr w:type="spellEnd"/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 xml:space="preserve"> ID</w:t>
              </w:r>
            </w:hyperlink>
          </w:p>
        </w:tc>
        <w:sdt>
          <w:sdtPr>
            <w:rPr>
              <w:rFonts w:cstheme="minorHAnsi"/>
              <w:sz w:val="21"/>
              <w:szCs w:val="21"/>
            </w:rPr>
            <w:id w:val="91405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42602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Connect with your Department Chair/Director and Administrative Officer(s)</w:t>
            </w:r>
          </w:p>
        </w:tc>
        <w:sdt>
          <w:sdtPr>
            <w:rPr>
              <w:rFonts w:cstheme="minorHAnsi"/>
              <w:sz w:val="21"/>
              <w:szCs w:val="21"/>
            </w:rPr>
            <w:id w:val="64840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92047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Visit the </w:t>
            </w:r>
            <w:hyperlink r:id="rId8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About Victoria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site. </w:t>
            </w:r>
          </w:p>
        </w:tc>
        <w:sdt>
          <w:sdtPr>
            <w:rPr>
              <w:rFonts w:cstheme="minorHAnsi"/>
              <w:sz w:val="21"/>
              <w:szCs w:val="21"/>
            </w:rPr>
            <w:id w:val="126626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77787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Purchase a </w:t>
            </w:r>
            <w:hyperlink r:id="rId9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Parking Permit,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</w:t>
            </w:r>
            <w:hyperlink r:id="rId10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bus pass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>, or find your walking/</w:t>
            </w:r>
            <w:hyperlink r:id="rId11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bike route</w:t>
              </w:r>
            </w:hyperlink>
          </w:p>
        </w:tc>
        <w:sdt>
          <w:sdtPr>
            <w:rPr>
              <w:rFonts w:cstheme="minorHAnsi"/>
              <w:sz w:val="21"/>
              <w:szCs w:val="21"/>
            </w:rPr>
            <w:id w:val="190017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57863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Get a </w:t>
            </w:r>
            <w:hyperlink r:id="rId12" w:history="1">
              <w:proofErr w:type="spellStart"/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ONECard</w:t>
              </w:r>
              <w:proofErr w:type="spellEnd"/>
            </w:hyperlink>
            <w:r w:rsidRPr="00486FA9">
              <w:rPr>
                <w:rFonts w:cstheme="minorHAnsi"/>
                <w:sz w:val="21"/>
                <w:szCs w:val="21"/>
              </w:rPr>
              <w:t xml:space="preserve"> ID</w:t>
            </w:r>
          </w:p>
        </w:tc>
        <w:sdt>
          <w:sdtPr>
            <w:rPr>
              <w:rFonts w:cstheme="minorHAnsi"/>
              <w:sz w:val="21"/>
              <w:szCs w:val="21"/>
            </w:rPr>
            <w:id w:val="154386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21408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Register for New Faculty/Librarian Orientation and Let’s Talk about Teaching Program through the </w:t>
            </w:r>
            <w:hyperlink r:id="rId13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Division of Learning, Teaching, Support and Innovation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25065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76930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 w:rsidRPr="00486FA9">
              <w:rPr>
                <w:rFonts w:cstheme="minorHAnsi"/>
                <w:b/>
                <w:color w:val="002E5D"/>
                <w:sz w:val="21"/>
                <w:szCs w:val="21"/>
              </w:rPr>
              <w:t>Human Resources and Payroll</w:t>
            </w:r>
          </w:p>
        </w:tc>
        <w:tc>
          <w:tcPr>
            <w:tcW w:w="90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Complete Personal Tax Credit Forms (</w:t>
            </w:r>
            <w:hyperlink r:id="rId14" w:history="1">
              <w:r w:rsidRPr="00DA1DAB">
                <w:rPr>
                  <w:rStyle w:val="Hyperlink"/>
                  <w:rFonts w:cstheme="minorHAnsi"/>
                  <w:sz w:val="21"/>
                  <w:szCs w:val="21"/>
                </w:rPr>
                <w:t>TD1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&amp; </w:t>
            </w:r>
            <w:hyperlink r:id="rId15" w:history="1">
              <w:r w:rsidRPr="000D5ED9">
                <w:rPr>
                  <w:rStyle w:val="Hyperlink"/>
                  <w:rFonts w:cstheme="minorHAnsi"/>
                  <w:sz w:val="21"/>
                  <w:szCs w:val="21"/>
                </w:rPr>
                <w:t>TD1BC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>)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92934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62069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Complete and submit the Benefits paperwork</w:t>
            </w:r>
          </w:p>
        </w:tc>
        <w:sdt>
          <w:sdtPr>
            <w:rPr>
              <w:rFonts w:cstheme="minorHAnsi"/>
              <w:sz w:val="21"/>
              <w:szCs w:val="21"/>
            </w:rPr>
            <w:id w:val="149444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02787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Submit your Direct Deposit Information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51067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25543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 w:rsidRPr="00486FA9">
              <w:rPr>
                <w:rFonts w:cstheme="minorHAnsi"/>
                <w:b/>
                <w:color w:val="002E5D"/>
                <w:sz w:val="21"/>
                <w:szCs w:val="21"/>
              </w:rPr>
              <w:t>Research Preparation</w:t>
            </w:r>
          </w:p>
        </w:tc>
        <w:tc>
          <w:tcPr>
            <w:tcW w:w="90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Getting Access to Your Research Start-up Funds – Completing Your Project Request Form</w:t>
            </w:r>
          </w:p>
        </w:tc>
        <w:sdt>
          <w:sdtPr>
            <w:rPr>
              <w:rFonts w:cstheme="minorHAnsi"/>
              <w:sz w:val="21"/>
              <w:szCs w:val="21"/>
            </w:rPr>
            <w:id w:val="174128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78493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Transferring your Existing Grant(s) and Contract(s)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14634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61914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Overall Research Certification Requirements and IRISS Registration</w:t>
            </w:r>
          </w:p>
        </w:tc>
        <w:sdt>
          <w:sdtPr>
            <w:rPr>
              <w:rFonts w:cstheme="minorHAnsi"/>
              <w:sz w:val="21"/>
              <w:szCs w:val="21"/>
            </w:rPr>
            <w:id w:val="-94099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72552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Human Ethics Review Process</w:t>
            </w:r>
          </w:p>
        </w:tc>
        <w:sdt>
          <w:sdtPr>
            <w:rPr>
              <w:rFonts w:cstheme="minorHAnsi"/>
              <w:sz w:val="21"/>
              <w:szCs w:val="21"/>
            </w:rPr>
            <w:id w:val="-213254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77744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Animal Care Ethics Review Process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63363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208247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b/>
                <w:color w:val="FF0000"/>
                <w:sz w:val="21"/>
                <w:szCs w:val="21"/>
              </w:rPr>
            </w:pPr>
            <w:r w:rsidRPr="00486FA9">
              <w:rPr>
                <w:rFonts w:cstheme="minorHAnsi"/>
                <w:b/>
                <w:color w:val="002E5D"/>
                <w:sz w:val="21"/>
                <w:szCs w:val="21"/>
              </w:rPr>
              <w:t>Teaching Preparation</w:t>
            </w:r>
          </w:p>
        </w:tc>
        <w:tc>
          <w:tcPr>
            <w:tcW w:w="90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Review the </w:t>
            </w:r>
            <w:hyperlink r:id="rId16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Graduate Student Supervision Policy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32782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34467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Register for the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i/>
                <w:sz w:val="21"/>
                <w:szCs w:val="21"/>
              </w:rPr>
              <w:t xml:space="preserve">Introduction to </w:t>
            </w:r>
            <w:proofErr w:type="spellStart"/>
            <w:r>
              <w:rPr>
                <w:rFonts w:cstheme="minorHAnsi"/>
                <w:i/>
                <w:sz w:val="21"/>
                <w:szCs w:val="21"/>
              </w:rPr>
              <w:t>CourseSpaces</w:t>
            </w:r>
            <w:proofErr w:type="spellEnd"/>
            <w:r>
              <w:rPr>
                <w:rFonts w:cstheme="minorHAnsi"/>
                <w:i/>
                <w:sz w:val="21"/>
                <w:szCs w:val="21"/>
              </w:rPr>
              <w:t xml:space="preserve"> Workshop </w:t>
            </w:r>
            <w:r>
              <w:rPr>
                <w:rFonts w:cstheme="minorHAnsi"/>
                <w:sz w:val="21"/>
                <w:szCs w:val="21"/>
              </w:rPr>
              <w:t>on the</w:t>
            </w:r>
            <w:r w:rsidRPr="00486FA9">
              <w:rPr>
                <w:rFonts w:cstheme="minorHAnsi"/>
                <w:sz w:val="21"/>
                <w:szCs w:val="21"/>
              </w:rPr>
              <w:t xml:space="preserve"> </w:t>
            </w:r>
            <w:hyperlink r:id="rId17" w:history="1">
              <w:r>
                <w:rPr>
                  <w:rStyle w:val="Hyperlink"/>
                  <w:rFonts w:cstheme="minorHAnsi"/>
                  <w:sz w:val="21"/>
                  <w:szCs w:val="21"/>
                </w:rPr>
                <w:t>Technology Integrated Learning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webpage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37067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77857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b/>
                <w:color w:val="FF0000"/>
                <w:sz w:val="21"/>
                <w:szCs w:val="21"/>
              </w:rPr>
            </w:pPr>
            <w:r w:rsidRPr="00486FA9">
              <w:rPr>
                <w:rFonts w:cstheme="minorHAnsi"/>
                <w:b/>
                <w:color w:val="44546A" w:themeColor="text2"/>
                <w:sz w:val="21"/>
                <w:szCs w:val="21"/>
              </w:rPr>
              <w:t>Getting on the Same Page</w:t>
            </w:r>
          </w:p>
        </w:tc>
        <w:tc>
          <w:tcPr>
            <w:tcW w:w="90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lastRenderedPageBreak/>
              <w:t xml:space="preserve">Learn about </w:t>
            </w:r>
            <w:hyperlink r:id="rId18" w:history="1">
              <w:proofErr w:type="spellStart"/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UVic’s</w:t>
              </w:r>
              <w:proofErr w:type="spellEnd"/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 xml:space="preserve"> Strategic Framework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, </w:t>
            </w:r>
            <w:hyperlink r:id="rId19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Indigenous Plan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, </w:t>
            </w:r>
            <w:hyperlink r:id="rId20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International Plan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, and </w:t>
            </w:r>
            <w:hyperlink r:id="rId21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other strategic documents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cstheme="minorHAnsi"/>
              <w:sz w:val="21"/>
              <w:szCs w:val="21"/>
            </w:rPr>
            <w:id w:val="95444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51302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Review </w:t>
            </w:r>
            <w:r>
              <w:rPr>
                <w:rFonts w:cstheme="minorHAnsi"/>
                <w:sz w:val="21"/>
                <w:szCs w:val="21"/>
              </w:rPr>
              <w:t>your collective agreement, k</w:t>
            </w:r>
            <w:r w:rsidRPr="00486FA9">
              <w:rPr>
                <w:rFonts w:cstheme="minorHAnsi"/>
                <w:sz w:val="21"/>
                <w:szCs w:val="21"/>
              </w:rPr>
              <w:t xml:space="preserve">ey </w:t>
            </w:r>
            <w:hyperlink r:id="rId22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UVic policies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and </w:t>
            </w:r>
            <w:hyperlink r:id="rId23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governing structures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cstheme="minorHAnsi"/>
              <w:sz w:val="21"/>
              <w:szCs w:val="21"/>
            </w:rPr>
            <w:id w:val="138637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25775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Complete </w:t>
            </w:r>
            <w:hyperlink r:id="rId24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Privacy, Records Management, and Information Security</w:t>
              </w:r>
            </w:hyperlink>
            <w:r>
              <w:rPr>
                <w:rStyle w:val="Strong"/>
                <w:rFonts w:cstheme="minorHAnsi"/>
                <w:sz w:val="21"/>
                <w:szCs w:val="21"/>
              </w:rPr>
              <w:t xml:space="preserve"> and </w:t>
            </w:r>
            <w:hyperlink r:id="rId25" w:history="1">
              <w:r w:rsidRPr="00620EA5">
                <w:rPr>
                  <w:rStyle w:val="Hyperlink"/>
                  <w:rFonts w:cstheme="minorHAnsi"/>
                  <w:sz w:val="21"/>
                  <w:szCs w:val="21"/>
                </w:rPr>
                <w:t>Workplace Bullying and Harassment Prevention</w:t>
              </w:r>
            </w:hyperlink>
            <w:r>
              <w:rPr>
                <w:rStyle w:val="Strong"/>
                <w:rFonts w:cstheme="minorHAnsi"/>
                <w:sz w:val="21"/>
                <w:szCs w:val="21"/>
              </w:rPr>
              <w:t xml:space="preserve"> and </w:t>
            </w:r>
            <w:hyperlink r:id="rId26" w:history="1">
              <w:r w:rsidRPr="00096FA5">
                <w:rPr>
                  <w:rStyle w:val="Hyperlink"/>
                  <w:rFonts w:cstheme="minorHAnsi"/>
                  <w:sz w:val="21"/>
                  <w:szCs w:val="21"/>
                </w:rPr>
                <w:t>Phishing Awareness Training</w:t>
              </w:r>
            </w:hyperlink>
            <w:r>
              <w:rPr>
                <w:rStyle w:val="Strong"/>
                <w:rFonts w:cstheme="minorHAnsi"/>
                <w:sz w:val="21"/>
                <w:szCs w:val="21"/>
              </w:rPr>
              <w:t xml:space="preserve"> online courses </w:t>
            </w:r>
          </w:p>
        </w:tc>
        <w:sdt>
          <w:sdtPr>
            <w:rPr>
              <w:rFonts w:cstheme="minorHAnsi"/>
              <w:sz w:val="21"/>
              <w:szCs w:val="21"/>
            </w:rPr>
            <w:id w:val="188306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88795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Learn About The </w:t>
            </w:r>
            <w:hyperlink r:id="rId27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UVic Faculty Association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cstheme="minorHAnsi"/>
              <w:sz w:val="21"/>
              <w:szCs w:val="21"/>
            </w:rPr>
            <w:id w:val="202473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6912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Learn about support services such as: </w:t>
            </w:r>
            <w:hyperlink r:id="rId28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The Office of Equity and Human Rights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(EQHR), </w:t>
            </w:r>
            <w:hyperlink r:id="rId29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Indigenous Academic &amp; Community Engagement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(IACE), </w:t>
            </w:r>
            <w:hyperlink r:id="rId30" w:history="1">
              <w:r w:rsidRPr="00486FA9">
                <w:rPr>
                  <w:rStyle w:val="Hyperlink"/>
                  <w:rFonts w:cstheme="minorHAnsi"/>
                  <w:sz w:val="21"/>
                  <w:szCs w:val="21"/>
                </w:rPr>
                <w:t>Employee and family assistance program</w:t>
              </w:r>
            </w:hyperlink>
            <w:r w:rsidRPr="00486FA9">
              <w:rPr>
                <w:rFonts w:cstheme="minorHAnsi"/>
                <w:sz w:val="21"/>
                <w:szCs w:val="21"/>
              </w:rPr>
              <w:t xml:space="preserve"> (EFAP). </w:t>
            </w:r>
          </w:p>
        </w:tc>
        <w:sdt>
          <w:sdtPr>
            <w:rPr>
              <w:rFonts w:cstheme="minorHAnsi"/>
              <w:sz w:val="21"/>
              <w:szCs w:val="21"/>
            </w:rPr>
            <w:id w:val="188883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85869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b/>
                <w:color w:val="FF0000"/>
                <w:sz w:val="21"/>
                <w:szCs w:val="21"/>
              </w:rPr>
            </w:pPr>
            <w:r w:rsidRPr="00486FA9">
              <w:rPr>
                <w:rFonts w:cstheme="minorHAnsi"/>
                <w:b/>
                <w:color w:val="002E5D"/>
                <w:sz w:val="21"/>
                <w:szCs w:val="21"/>
              </w:rPr>
              <w:t>Getting Started – On Your First Day</w:t>
            </w:r>
          </w:p>
        </w:tc>
        <w:tc>
          <w:tcPr>
            <w:tcW w:w="90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Connect with your Chair/Director and Administrative Officer(s)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17001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08604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Setup Your Desktop</w:t>
            </w:r>
          </w:p>
        </w:tc>
        <w:sdt>
          <w:sdtPr>
            <w:rPr>
              <w:rFonts w:cstheme="minorHAnsi"/>
              <w:sz w:val="21"/>
              <w:szCs w:val="21"/>
            </w:rPr>
            <w:id w:val="9830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97212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>Setup your personal voice mail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49833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70128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b/>
                <w:color w:val="002E5D"/>
                <w:sz w:val="21"/>
                <w:szCs w:val="21"/>
              </w:rPr>
              <w:t>Getting Started – After Your First Day</w:t>
            </w:r>
          </w:p>
        </w:tc>
        <w:tc>
          <w:tcPr>
            <w:tcW w:w="90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:rsidR="0095489C" w:rsidRPr="00486FA9" w:rsidRDefault="0095489C" w:rsidP="003D391E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486FA9">
              <w:rPr>
                <w:rFonts w:cstheme="minorHAnsi"/>
                <w:sz w:val="21"/>
                <w:szCs w:val="21"/>
              </w:rPr>
              <w:t xml:space="preserve">Connect with your </w:t>
            </w:r>
            <w:r>
              <w:rPr>
                <w:rFonts w:cstheme="minorHAnsi"/>
                <w:sz w:val="21"/>
                <w:szCs w:val="21"/>
              </w:rPr>
              <w:t>Mentor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82342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45694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86FA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489C" w:rsidRPr="00486FA9" w:rsidTr="003D391E">
        <w:trPr>
          <w:cantSplit/>
        </w:trPr>
        <w:tc>
          <w:tcPr>
            <w:tcW w:w="791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95489C" w:rsidRPr="00486FA9" w:rsidRDefault="0095489C" w:rsidP="003D391E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hyperlink r:id="rId31" w:history="1">
              <w:r w:rsidRPr="00492C5E">
                <w:rPr>
                  <w:rStyle w:val="Hyperlink"/>
                  <w:rFonts w:cstheme="minorHAnsi"/>
                  <w:sz w:val="21"/>
                  <w:szCs w:val="21"/>
                </w:rPr>
                <w:t>Additional Resources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 and </w:t>
            </w:r>
            <w:hyperlink r:id="rId32" w:history="1">
              <w:r w:rsidRPr="00B12240">
                <w:rPr>
                  <w:rStyle w:val="Hyperlink"/>
                  <w:rFonts w:cstheme="minorHAnsi"/>
                  <w:sz w:val="21"/>
                  <w:szCs w:val="21"/>
                </w:rPr>
                <w:t>Online Support</w:t>
              </w:r>
            </w:hyperlink>
          </w:p>
        </w:tc>
        <w:sdt>
          <w:sdtPr>
            <w:rPr>
              <w:rFonts w:cstheme="minorHAnsi"/>
              <w:sz w:val="21"/>
              <w:szCs w:val="21"/>
            </w:rPr>
            <w:id w:val="-168164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198831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shd w:val="clear" w:color="auto" w:fill="auto"/>
                <w:tcMar>
                  <w:top w:w="43" w:type="dxa"/>
                  <w:left w:w="72" w:type="dxa"/>
                  <w:bottom w:w="43" w:type="dxa"/>
                  <w:right w:w="43" w:type="dxa"/>
                </w:tcMar>
                <w:vAlign w:val="center"/>
              </w:tcPr>
              <w:p w:rsidR="0095489C" w:rsidRPr="00486FA9" w:rsidRDefault="0095489C" w:rsidP="003D391E">
                <w:pPr>
                  <w:spacing w:before="60" w:after="60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:rsidR="0095489C" w:rsidRDefault="0095489C" w:rsidP="0095489C">
      <w:pPr>
        <w:pStyle w:val="Appendix1"/>
      </w:pPr>
    </w:p>
    <w:p w:rsidR="0095489C" w:rsidRDefault="0095489C" w:rsidP="0095489C">
      <w:pPr>
        <w:rPr>
          <w:b/>
          <w:color w:val="222A35" w:themeColor="text2" w:themeShade="80"/>
          <w:sz w:val="28"/>
        </w:rPr>
      </w:pPr>
    </w:p>
    <w:p w:rsidR="0095489C" w:rsidRDefault="0095489C" w:rsidP="0095489C">
      <w:pPr>
        <w:rPr>
          <w:b/>
          <w:color w:val="222A35" w:themeColor="text2" w:themeShade="80"/>
          <w:sz w:val="28"/>
        </w:rPr>
      </w:pPr>
    </w:p>
    <w:p w:rsidR="0095489C" w:rsidRDefault="0095489C" w:rsidP="0095489C">
      <w:pPr>
        <w:rPr>
          <w:b/>
          <w:color w:val="222A35" w:themeColor="text2" w:themeShade="80"/>
          <w:sz w:val="28"/>
        </w:rPr>
      </w:pPr>
    </w:p>
    <w:p w:rsidR="0095489C" w:rsidRDefault="0095489C" w:rsidP="0095489C">
      <w:pPr>
        <w:rPr>
          <w:b/>
          <w:color w:val="222A35" w:themeColor="text2" w:themeShade="80"/>
          <w:sz w:val="28"/>
        </w:rPr>
      </w:pPr>
    </w:p>
    <w:p w:rsidR="0095489C" w:rsidRDefault="0095489C" w:rsidP="0095489C">
      <w:pPr>
        <w:rPr>
          <w:b/>
          <w:color w:val="222A35" w:themeColor="text2" w:themeShade="80"/>
          <w:sz w:val="28"/>
        </w:rPr>
      </w:pPr>
      <w:r>
        <w:rPr>
          <w:b/>
          <w:color w:val="222A35" w:themeColor="text2" w:themeShade="80"/>
          <w:sz w:val="28"/>
        </w:rPr>
        <w:br w:type="page"/>
      </w:r>
    </w:p>
    <w:p w:rsidR="0095489C" w:rsidRPr="00B44179" w:rsidRDefault="0095489C" w:rsidP="0095489C">
      <w:pPr>
        <w:pStyle w:val="Appendix1"/>
      </w:pPr>
      <w:bookmarkStart w:id="2" w:name="_Toc25840722"/>
      <w:r w:rsidRPr="00B44179">
        <w:lastRenderedPageBreak/>
        <w:t xml:space="preserve">Checklist for the </w:t>
      </w:r>
      <w:r>
        <w:t>Appointment</w:t>
      </w:r>
      <w:r w:rsidRPr="00B44179">
        <w:t xml:space="preserve"> Comm</w:t>
      </w:r>
      <w:bookmarkStart w:id="3" w:name="ChecklistfortheAppointmentCommitteeChair"/>
      <w:bookmarkEnd w:id="3"/>
      <w:r w:rsidRPr="00B44179">
        <w:t>ittee Chair</w:t>
      </w:r>
      <w:bookmarkEnd w:id="2"/>
      <w:r w:rsidRPr="00B44179">
        <w:t xml:space="preserve"> </w:t>
      </w:r>
    </w:p>
    <w:p w:rsidR="0095489C" w:rsidRPr="006E4239" w:rsidRDefault="0095489C" w:rsidP="0095489C">
      <w:pPr>
        <w:pStyle w:val="Appendix1"/>
        <w:rPr>
          <w:sz w:val="16"/>
          <w:szCs w:val="16"/>
        </w:rPr>
      </w:pPr>
    </w:p>
    <w:p w:rsidR="0095489C" w:rsidRPr="00F0464E" w:rsidRDefault="0095489C" w:rsidP="0095489C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>Review Article 32 of the Collective Agreement</w:t>
      </w:r>
    </w:p>
    <w:p w:rsidR="0095489C" w:rsidRPr="00F0464E" w:rsidRDefault="0095489C" w:rsidP="0095489C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>Begin discussions with committee on: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Mandate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Procedural Fairness (Section 1.7)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 xml:space="preserve">Assigned roles 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 xml:space="preserve">Any training required by committee (Sections </w:t>
      </w:r>
      <w:r>
        <w:rPr>
          <w:sz w:val="21"/>
          <w:szCs w:val="21"/>
        </w:rPr>
        <w:t>1</w:t>
      </w:r>
      <w:r w:rsidRPr="003C001F">
        <w:rPr>
          <w:sz w:val="21"/>
          <w:szCs w:val="21"/>
        </w:rPr>
        <w:t>.3</w:t>
      </w:r>
      <w:r>
        <w:rPr>
          <w:sz w:val="21"/>
          <w:szCs w:val="21"/>
        </w:rPr>
        <w:t xml:space="preserve">, </w:t>
      </w:r>
      <w:r w:rsidRPr="003C001F">
        <w:rPr>
          <w:sz w:val="21"/>
          <w:szCs w:val="21"/>
        </w:rPr>
        <w:t>1.5)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 xml:space="preserve">Conflict of Interest and Apprehension of Bias (Section 1.6; Appendices 1, 15) 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Confidentiality Agreement for committee members (Section 1.8; Appendix 1)</w:t>
      </w:r>
    </w:p>
    <w:p w:rsidR="0095489C" w:rsidRPr="00F0464E" w:rsidRDefault="0095489C" w:rsidP="0095489C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>Planning Activities: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 xml:space="preserve">Timelines to be considered in planning process:  </w:t>
      </w:r>
    </w:p>
    <w:p w:rsidR="0095489C" w:rsidRPr="003C001F" w:rsidRDefault="0095489C" w:rsidP="0095489C">
      <w:pPr>
        <w:pStyle w:val="ListParagraph"/>
        <w:numPr>
          <w:ilvl w:val="1"/>
          <w:numId w:val="11"/>
        </w:numPr>
        <w:ind w:left="1276" w:hanging="283"/>
        <w:rPr>
          <w:sz w:val="21"/>
          <w:szCs w:val="21"/>
        </w:rPr>
      </w:pPr>
      <w:r w:rsidRPr="003C001F">
        <w:rPr>
          <w:sz w:val="21"/>
          <w:szCs w:val="21"/>
        </w:rPr>
        <w:t>Appointment Advertisement (Section 6.2)</w:t>
      </w:r>
    </w:p>
    <w:p w:rsidR="0095489C" w:rsidRPr="003C001F" w:rsidRDefault="0095489C" w:rsidP="0095489C">
      <w:pPr>
        <w:pStyle w:val="ListParagraph"/>
        <w:numPr>
          <w:ilvl w:val="1"/>
          <w:numId w:val="11"/>
        </w:numPr>
        <w:ind w:left="1276" w:hanging="283"/>
        <w:rPr>
          <w:sz w:val="21"/>
          <w:szCs w:val="21"/>
        </w:rPr>
      </w:pPr>
      <w:r w:rsidRPr="003C001F">
        <w:rPr>
          <w:sz w:val="21"/>
          <w:szCs w:val="21"/>
        </w:rPr>
        <w:t>Immigration (Section 6.</w:t>
      </w:r>
      <w:r>
        <w:rPr>
          <w:sz w:val="21"/>
          <w:szCs w:val="21"/>
        </w:rPr>
        <w:t>9</w:t>
      </w:r>
      <w:r w:rsidRPr="003C001F">
        <w:rPr>
          <w:sz w:val="21"/>
          <w:szCs w:val="21"/>
        </w:rPr>
        <w:t>)</w:t>
      </w:r>
    </w:p>
    <w:p w:rsidR="0095489C" w:rsidRPr="003C001F" w:rsidRDefault="0095489C" w:rsidP="0095489C">
      <w:pPr>
        <w:pStyle w:val="ListParagraph"/>
        <w:numPr>
          <w:ilvl w:val="1"/>
          <w:numId w:val="11"/>
        </w:numPr>
        <w:ind w:left="1276" w:hanging="283"/>
        <w:rPr>
          <w:sz w:val="21"/>
          <w:szCs w:val="21"/>
        </w:rPr>
      </w:pPr>
      <w:r>
        <w:rPr>
          <w:sz w:val="21"/>
          <w:szCs w:val="21"/>
        </w:rPr>
        <w:t xml:space="preserve">Approval </w:t>
      </w:r>
      <w:r w:rsidRPr="003C001F">
        <w:rPr>
          <w:sz w:val="21"/>
          <w:szCs w:val="21"/>
        </w:rPr>
        <w:t>Process Maps (Appendix 16)</w:t>
      </w:r>
    </w:p>
    <w:p w:rsidR="0095489C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 xml:space="preserve">Composition of </w:t>
      </w:r>
      <w:r w:rsidRPr="00F0464E">
        <w:rPr>
          <w:sz w:val="21"/>
          <w:szCs w:val="21"/>
        </w:rPr>
        <w:t>appointment</w:t>
      </w:r>
      <w:r w:rsidRPr="003C001F" w:rsidDel="00B5427F">
        <w:rPr>
          <w:sz w:val="21"/>
          <w:szCs w:val="21"/>
        </w:rPr>
        <w:t xml:space="preserve"> </w:t>
      </w:r>
      <w:r w:rsidRPr="003C001F">
        <w:rPr>
          <w:sz w:val="21"/>
          <w:szCs w:val="21"/>
        </w:rPr>
        <w:t>committee (Sections 1</w:t>
      </w:r>
      <w:r>
        <w:rPr>
          <w:sz w:val="21"/>
          <w:szCs w:val="21"/>
        </w:rPr>
        <w:t>.1</w:t>
      </w:r>
      <w:r w:rsidRPr="003C001F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1.2, 1.3, </w:t>
      </w:r>
      <w:r w:rsidRPr="003C001F">
        <w:rPr>
          <w:sz w:val="21"/>
          <w:szCs w:val="21"/>
        </w:rPr>
        <w:t>2</w:t>
      </w:r>
      <w:r>
        <w:rPr>
          <w:sz w:val="21"/>
          <w:szCs w:val="21"/>
        </w:rPr>
        <w:t>.1</w:t>
      </w:r>
      <w:r w:rsidRPr="003C001F">
        <w:rPr>
          <w:sz w:val="21"/>
          <w:szCs w:val="21"/>
        </w:rPr>
        <w:t>;  Appendices 2, 6, 7)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Need for a preferential or limited hire (Sections 2.</w:t>
      </w:r>
      <w:r>
        <w:rPr>
          <w:sz w:val="21"/>
          <w:szCs w:val="21"/>
        </w:rPr>
        <w:t>1</w:t>
      </w:r>
      <w:r w:rsidRPr="003C001F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all section </w:t>
      </w:r>
      <w:r w:rsidRPr="003C001F">
        <w:rPr>
          <w:sz w:val="21"/>
          <w:szCs w:val="21"/>
        </w:rPr>
        <w:t>3; Appendix 9)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Review the unit’s disciplinary focus (Section 2.</w:t>
      </w:r>
      <w:r>
        <w:rPr>
          <w:sz w:val="21"/>
          <w:szCs w:val="21"/>
        </w:rPr>
        <w:t>0</w:t>
      </w:r>
      <w:r w:rsidRPr="003C001F">
        <w:rPr>
          <w:sz w:val="21"/>
          <w:szCs w:val="21"/>
        </w:rPr>
        <w:t>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Review of University policy regarding records management (Section 6.</w:t>
      </w:r>
      <w:r>
        <w:rPr>
          <w:sz w:val="21"/>
          <w:szCs w:val="21"/>
        </w:rPr>
        <w:t>6</w:t>
      </w:r>
      <w:r w:rsidRPr="003C001F">
        <w:rPr>
          <w:sz w:val="21"/>
          <w:szCs w:val="21"/>
        </w:rPr>
        <w:t>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Review and consider the following areas before determining criteria:</w:t>
      </w:r>
    </w:p>
    <w:p w:rsidR="0095489C" w:rsidRPr="003C001F" w:rsidRDefault="0095489C" w:rsidP="0095489C">
      <w:pPr>
        <w:pStyle w:val="ListParagraph"/>
        <w:numPr>
          <w:ilvl w:val="1"/>
          <w:numId w:val="11"/>
        </w:numPr>
        <w:ind w:left="1276" w:hanging="425"/>
        <w:rPr>
          <w:sz w:val="21"/>
          <w:szCs w:val="21"/>
        </w:rPr>
      </w:pPr>
      <w:r w:rsidRPr="00F0464E">
        <w:rPr>
          <w:sz w:val="21"/>
          <w:szCs w:val="21"/>
        </w:rPr>
        <w:t>What is needed to develop criteria (</w:t>
      </w:r>
      <w:r>
        <w:rPr>
          <w:sz w:val="21"/>
          <w:szCs w:val="21"/>
        </w:rPr>
        <w:t xml:space="preserve">Sections 5.0, </w:t>
      </w:r>
      <w:r w:rsidRPr="00F0464E">
        <w:rPr>
          <w:sz w:val="21"/>
          <w:szCs w:val="21"/>
        </w:rPr>
        <w:t>5.1)</w:t>
      </w:r>
    </w:p>
    <w:p w:rsidR="0095489C" w:rsidRPr="003C001F" w:rsidRDefault="0095489C" w:rsidP="0095489C">
      <w:pPr>
        <w:pStyle w:val="ListParagraph"/>
        <w:numPr>
          <w:ilvl w:val="1"/>
          <w:numId w:val="11"/>
        </w:numPr>
        <w:ind w:left="1276" w:hanging="425"/>
        <w:rPr>
          <w:sz w:val="21"/>
          <w:szCs w:val="21"/>
        </w:rPr>
      </w:pPr>
      <w:r w:rsidRPr="003C001F">
        <w:rPr>
          <w:sz w:val="21"/>
          <w:szCs w:val="21"/>
        </w:rPr>
        <w:t>Review criteria for performance of duties and responsibilities in the Collective Agreement and Faculty and Department evaluation policies (Section 5.0)</w:t>
      </w:r>
    </w:p>
    <w:p w:rsidR="0095489C" w:rsidRPr="00F0464E" w:rsidRDefault="0095489C" w:rsidP="0095489C">
      <w:pPr>
        <w:pStyle w:val="ListParagraph"/>
        <w:numPr>
          <w:ilvl w:val="1"/>
          <w:numId w:val="11"/>
        </w:numPr>
        <w:ind w:left="1276" w:hanging="425"/>
        <w:rPr>
          <w:sz w:val="21"/>
          <w:szCs w:val="21"/>
        </w:rPr>
      </w:pPr>
      <w:r w:rsidRPr="00F0464E">
        <w:rPr>
          <w:sz w:val="21"/>
          <w:szCs w:val="21"/>
        </w:rPr>
        <w:t>Characteristics of good criteria (Section 5.2)</w:t>
      </w:r>
    </w:p>
    <w:p w:rsidR="0095489C" w:rsidRPr="003C001F" w:rsidRDefault="0095489C" w:rsidP="0095489C">
      <w:pPr>
        <w:pStyle w:val="ListParagraph"/>
        <w:numPr>
          <w:ilvl w:val="1"/>
          <w:numId w:val="11"/>
        </w:numPr>
        <w:ind w:left="1276" w:hanging="425"/>
        <w:rPr>
          <w:sz w:val="21"/>
          <w:szCs w:val="21"/>
        </w:rPr>
      </w:pPr>
      <w:r w:rsidRPr="003C001F">
        <w:rPr>
          <w:sz w:val="21"/>
          <w:szCs w:val="21"/>
        </w:rPr>
        <w:t>Methods of assessment (Section 5.5)</w:t>
      </w:r>
    </w:p>
    <w:p w:rsidR="0095489C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Use of qualification and background checks  (Section 7.4</w:t>
      </w:r>
      <w:r>
        <w:rPr>
          <w:sz w:val="21"/>
          <w:szCs w:val="21"/>
        </w:rPr>
        <w:t>; Appendix 14</w:t>
      </w:r>
      <w:r w:rsidRPr="003C001F">
        <w:rPr>
          <w:sz w:val="21"/>
          <w:szCs w:val="21"/>
        </w:rPr>
        <w:t xml:space="preserve">) </w:t>
      </w:r>
    </w:p>
    <w:p w:rsidR="0095489C" w:rsidRPr="00F0464E" w:rsidRDefault="0095489C" w:rsidP="0095489C">
      <w:pPr>
        <w:pStyle w:val="ListParagraph"/>
        <w:ind w:left="851"/>
        <w:rPr>
          <w:sz w:val="16"/>
          <w:szCs w:val="16"/>
        </w:rPr>
      </w:pPr>
    </w:p>
    <w:p w:rsidR="0095489C" w:rsidRPr="00F0464E" w:rsidRDefault="0095489C" w:rsidP="0095489C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>Committee determines criteria (Section 5; Appendix 4)</w:t>
      </w:r>
    </w:p>
    <w:p w:rsidR="0095489C" w:rsidRPr="00F0464E" w:rsidRDefault="0095489C" w:rsidP="0095489C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>Committee determines interview questions (Sections 1.7, 5.6; Appendix 12)</w:t>
      </w:r>
    </w:p>
    <w:p w:rsidR="0095489C" w:rsidRPr="00F0464E" w:rsidRDefault="0095489C" w:rsidP="0095489C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>Committee determines methods of assessment (Sections 5.5. 7.1; Appendix 11)</w:t>
      </w:r>
    </w:p>
    <w:p w:rsidR="0095489C" w:rsidRPr="00F0464E" w:rsidRDefault="0095489C" w:rsidP="0095489C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 xml:space="preserve">Posting of the advertisement 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Notice of Reference and Background checks (Sections 6.4, 7.4; Appendices 14, 18)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Immigration considerations (Sections 6.</w:t>
      </w:r>
      <w:r>
        <w:rPr>
          <w:sz w:val="21"/>
          <w:szCs w:val="21"/>
        </w:rPr>
        <w:t>7</w:t>
      </w:r>
      <w:r w:rsidRPr="003C001F">
        <w:rPr>
          <w:sz w:val="21"/>
          <w:szCs w:val="21"/>
        </w:rPr>
        <w:t>, 6.</w:t>
      </w:r>
      <w:r>
        <w:rPr>
          <w:sz w:val="21"/>
          <w:szCs w:val="21"/>
        </w:rPr>
        <w:t>8</w:t>
      </w:r>
      <w:r w:rsidRPr="003C001F">
        <w:rPr>
          <w:sz w:val="21"/>
          <w:szCs w:val="21"/>
        </w:rPr>
        <w:t>, 6.</w:t>
      </w:r>
      <w:r>
        <w:rPr>
          <w:sz w:val="21"/>
          <w:szCs w:val="21"/>
        </w:rPr>
        <w:t>9</w:t>
      </w:r>
      <w:r w:rsidRPr="003C001F">
        <w:rPr>
          <w:sz w:val="21"/>
          <w:szCs w:val="21"/>
        </w:rPr>
        <w:t>; Appendix 17)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Posting as required (Section 6.2)</w:t>
      </w:r>
    </w:p>
    <w:p w:rsidR="0095489C" w:rsidRPr="003959C9" w:rsidRDefault="0095489C" w:rsidP="0095489C">
      <w:pPr>
        <w:pStyle w:val="ListParagraph"/>
        <w:ind w:left="426" w:hanging="426"/>
        <w:rPr>
          <w:sz w:val="16"/>
          <w:szCs w:val="16"/>
        </w:rPr>
      </w:pPr>
    </w:p>
    <w:p w:rsidR="0095489C" w:rsidRPr="00F0464E" w:rsidRDefault="0095489C" w:rsidP="0095489C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 xml:space="preserve">Evaluating applications 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Committee selects the long-list of candidates (Section 7.2)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Committee selects the short-list of candidates (Sections 7.3, 7.4)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 xml:space="preserve">Site Visit (Sections 7.5, 7.6) </w:t>
      </w:r>
    </w:p>
    <w:p w:rsidR="0095489C" w:rsidRPr="003C001F" w:rsidRDefault="0095489C" w:rsidP="0095489C">
      <w:pPr>
        <w:pStyle w:val="ListParagraph"/>
        <w:numPr>
          <w:ilvl w:val="0"/>
          <w:numId w:val="11"/>
        </w:numPr>
        <w:ind w:left="851" w:hanging="425"/>
        <w:rPr>
          <w:sz w:val="21"/>
          <w:szCs w:val="21"/>
        </w:rPr>
      </w:pPr>
      <w:r w:rsidRPr="003C001F">
        <w:rPr>
          <w:sz w:val="21"/>
          <w:szCs w:val="21"/>
        </w:rPr>
        <w:t>Notify candidates (Section 7.7; Appendix 13)</w:t>
      </w:r>
    </w:p>
    <w:p w:rsidR="0095489C" w:rsidRPr="00F0464E" w:rsidRDefault="0095489C" w:rsidP="0095489C">
      <w:pPr>
        <w:pStyle w:val="ListParagraph"/>
        <w:ind w:left="426" w:hanging="426"/>
        <w:rPr>
          <w:sz w:val="16"/>
          <w:szCs w:val="16"/>
        </w:rPr>
      </w:pPr>
    </w:p>
    <w:p w:rsidR="0095489C" w:rsidRPr="00F0464E" w:rsidRDefault="0095489C" w:rsidP="0095489C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 xml:space="preserve">Candidate appointment and offer procedures (Section 8.0) </w:t>
      </w:r>
    </w:p>
    <w:p w:rsidR="00D649BC" w:rsidRPr="0095489C" w:rsidRDefault="0095489C" w:rsidP="0095489C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sz w:val="23"/>
          <w:szCs w:val="23"/>
        </w:rPr>
      </w:pPr>
      <w:r w:rsidRPr="00F0464E">
        <w:rPr>
          <w:sz w:val="23"/>
          <w:szCs w:val="23"/>
        </w:rPr>
        <w:t xml:space="preserve">Submit Recommendation for Appointment form to </w:t>
      </w:r>
      <w:hyperlink r:id="rId33" w:history="1">
        <w:r w:rsidRPr="00F0464E">
          <w:rPr>
            <w:rStyle w:val="Hyperlink"/>
            <w:sz w:val="23"/>
            <w:szCs w:val="23"/>
          </w:rPr>
          <w:t>FRrecruit@uvic.ca</w:t>
        </w:r>
      </w:hyperlink>
      <w:r w:rsidRPr="00F0464E">
        <w:rPr>
          <w:sz w:val="23"/>
          <w:szCs w:val="23"/>
        </w:rPr>
        <w:t xml:space="preserve"> (Section 8.3)</w:t>
      </w:r>
      <w:bookmarkStart w:id="4" w:name="_GoBack"/>
      <w:bookmarkEnd w:id="4"/>
    </w:p>
    <w:sectPr w:rsidR="00D649BC" w:rsidRPr="0095489C" w:rsidSect="00D649BC">
      <w:headerReference w:type="default" r:id="rId34"/>
      <w:footerReference w:type="default" r:id="rId35"/>
      <w:pgSz w:w="12240" w:h="15840"/>
      <w:pgMar w:top="1440" w:right="104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BC" w:rsidRDefault="00D649BC" w:rsidP="00D649BC">
      <w:r>
        <w:separator/>
      </w:r>
    </w:p>
  </w:endnote>
  <w:endnote w:type="continuationSeparator" w:id="0">
    <w:p w:rsidR="00D649BC" w:rsidRDefault="00D649BC" w:rsidP="00D6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BC" w:rsidRDefault="00D649BC" w:rsidP="00D649BC">
    <w:pPr>
      <w:pStyle w:val="Footer"/>
    </w:pPr>
    <w:r>
      <w:ptab w:relativeTo="margin" w:alignment="right" w:leader="none"/>
    </w:r>
  </w:p>
  <w:p w:rsidR="00D649BC" w:rsidRDefault="00D649BC" w:rsidP="00D649BC"/>
  <w:p w:rsidR="00D649BC" w:rsidRPr="00AE04AB" w:rsidRDefault="00D649BC" w:rsidP="00D649BC">
    <w:pPr>
      <w:rPr>
        <w:sz w:val="20"/>
        <w:szCs w:val="20"/>
      </w:rPr>
    </w:pPr>
    <w:r w:rsidRPr="00772099">
      <w:rPr>
        <w:rFonts w:ascii="Corbel" w:eastAsia="Corbel" w:hAnsi="Corbel" w:cs="Corbel"/>
        <w:noProof/>
        <w:lang w:val="en-CA" w:eastAsia="en-CA"/>
      </w:rPr>
      <w:drawing>
        <wp:anchor distT="0" distB="0" distL="0" distR="0" simplePos="0" relativeHeight="251659264" behindDoc="1" locked="0" layoutInCell="1" allowOverlap="1" wp14:anchorId="63A1E72D" wp14:editId="552E85BC">
          <wp:simplePos x="0" y="0"/>
          <wp:positionH relativeFrom="page">
            <wp:posOffset>802204</wp:posOffset>
          </wp:positionH>
          <wp:positionV relativeFrom="page">
            <wp:posOffset>9744955</wp:posOffset>
          </wp:positionV>
          <wp:extent cx="6311159" cy="45673"/>
          <wp:effectExtent l="0" t="0" r="0" b="0"/>
          <wp:wrapNone/>
          <wp:docPr id="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1159" cy="45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 w:rsidRPr="00AE04AB">
      <w:rPr>
        <w:sz w:val="20"/>
        <w:szCs w:val="20"/>
      </w:rPr>
      <w:t xml:space="preserve">Version </w:t>
    </w:r>
    <w:r>
      <w:rPr>
        <w:sz w:val="20"/>
        <w:szCs w:val="20"/>
      </w:rPr>
      <w:t>1</w:t>
    </w:r>
    <w:r w:rsidRPr="00AE04AB">
      <w:rPr>
        <w:sz w:val="20"/>
        <w:szCs w:val="20"/>
      </w:rPr>
      <w:t>.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BC" w:rsidRDefault="00D649BC" w:rsidP="00D649BC">
      <w:r>
        <w:separator/>
      </w:r>
    </w:p>
  </w:footnote>
  <w:footnote w:type="continuationSeparator" w:id="0">
    <w:p w:rsidR="00D649BC" w:rsidRDefault="00D649BC" w:rsidP="00D6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BC" w:rsidRDefault="00D649BC">
    <w:pPr>
      <w:pStyle w:val="Header"/>
    </w:pPr>
    <w:r w:rsidRPr="00D649BC">
      <w:rPr>
        <w:noProof/>
        <w:lang w:val="en-CA" w:eastAsia="en-CA"/>
      </w:rPr>
      <w:drawing>
        <wp:anchor distT="0" distB="0" distL="0" distR="0" simplePos="0" relativeHeight="251661312" behindDoc="1" locked="0" layoutInCell="1" allowOverlap="1" wp14:anchorId="3196C032" wp14:editId="7F58069E">
          <wp:simplePos x="0" y="0"/>
          <wp:positionH relativeFrom="page">
            <wp:posOffset>917575</wp:posOffset>
          </wp:positionH>
          <wp:positionV relativeFrom="page">
            <wp:posOffset>666115</wp:posOffset>
          </wp:positionV>
          <wp:extent cx="6310782" cy="45669"/>
          <wp:effectExtent l="0" t="0" r="0" b="0"/>
          <wp:wrapNone/>
          <wp:docPr id="2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0782" cy="45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49B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A72C2C" wp14:editId="7D568C64">
              <wp:simplePos x="0" y="0"/>
              <wp:positionH relativeFrom="page">
                <wp:posOffset>914400</wp:posOffset>
              </wp:positionH>
              <wp:positionV relativeFrom="page">
                <wp:posOffset>448945</wp:posOffset>
              </wp:positionV>
              <wp:extent cx="3312160" cy="746760"/>
              <wp:effectExtent l="0" t="0" r="2540" b="152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1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9BC" w:rsidRDefault="00D649BC" w:rsidP="00D649BC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2060"/>
                              <w:sz w:val="20"/>
                            </w:rPr>
                            <w:t xml:space="preserve">Guide to Faculty and Librarian Recruitment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72C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35.35pt;width:260.8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G7rA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" filled="f" stroked="f">
              <v:textbox inset="0,0,0,0">
                <w:txbxContent>
                  <w:p w:rsidR="00D649BC" w:rsidRDefault="00D649BC" w:rsidP="00D649BC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02060"/>
                        <w:sz w:val="20"/>
                      </w:rPr>
                      <w:t xml:space="preserve">Guide to Faculty and Librarian Recruitment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649BC" w:rsidRDefault="00D64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563"/>
    <w:multiLevelType w:val="hybridMultilevel"/>
    <w:tmpl w:val="DA4C444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1148"/>
    <w:multiLevelType w:val="hybridMultilevel"/>
    <w:tmpl w:val="8FFE9B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14957"/>
    <w:multiLevelType w:val="hybridMultilevel"/>
    <w:tmpl w:val="98AEFA9E"/>
    <w:lvl w:ilvl="0" w:tplc="1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2E52233"/>
    <w:multiLevelType w:val="hybridMultilevel"/>
    <w:tmpl w:val="91B0B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93B5F"/>
    <w:multiLevelType w:val="hybridMultilevel"/>
    <w:tmpl w:val="F8F2FF4E"/>
    <w:lvl w:ilvl="0" w:tplc="8FCC0C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D7C33E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BF6"/>
    <w:multiLevelType w:val="hybridMultilevel"/>
    <w:tmpl w:val="4F2484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B017B"/>
    <w:multiLevelType w:val="hybridMultilevel"/>
    <w:tmpl w:val="F85A209C"/>
    <w:lvl w:ilvl="0" w:tplc="B4ACD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715E"/>
    <w:multiLevelType w:val="hybridMultilevel"/>
    <w:tmpl w:val="CC92B248"/>
    <w:lvl w:ilvl="0" w:tplc="403CBB6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9A1D50"/>
    <w:multiLevelType w:val="hybridMultilevel"/>
    <w:tmpl w:val="6BFAB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151E"/>
    <w:multiLevelType w:val="hybridMultilevel"/>
    <w:tmpl w:val="845EA7F4"/>
    <w:lvl w:ilvl="0" w:tplc="D8AAA92C">
      <w:numFmt w:val="bullet"/>
      <w:pStyle w:val="bullets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75A35"/>
    <w:multiLevelType w:val="hybridMultilevel"/>
    <w:tmpl w:val="F3767B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BC"/>
    <w:rsid w:val="00132C2E"/>
    <w:rsid w:val="006F4CDB"/>
    <w:rsid w:val="0095489C"/>
    <w:rsid w:val="00D05DF0"/>
    <w:rsid w:val="00D649BC"/>
    <w:rsid w:val="00D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0A4B"/>
  <w15:chartTrackingRefBased/>
  <w15:docId w15:val="{3BA2B8B9-6D09-4D8F-AD46-C0F21B35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UVic Normal,BOG Normal"/>
    <w:rsid w:val="00D649BC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49BC"/>
    <w:rPr>
      <w:color w:val="0000FF"/>
      <w:u w:val="single"/>
    </w:rPr>
  </w:style>
  <w:style w:type="paragraph" w:styleId="ListParagraph">
    <w:name w:val="List Paragraph"/>
    <w:aliases w:val="UVic List Paragraph"/>
    <w:basedOn w:val="Normal"/>
    <w:link w:val="ListParagraphChar"/>
    <w:uiPriority w:val="34"/>
    <w:qFormat/>
    <w:rsid w:val="00D649BC"/>
    <w:pPr>
      <w:ind w:left="720"/>
      <w:contextualSpacing/>
    </w:pPr>
  </w:style>
  <w:style w:type="character" w:customStyle="1" w:styleId="ListParagraphChar">
    <w:name w:val="List Paragraph Char"/>
    <w:aliases w:val="UVic List Paragraph Char"/>
    <w:basedOn w:val="DefaultParagraphFont"/>
    <w:link w:val="ListParagraph"/>
    <w:uiPriority w:val="34"/>
    <w:rsid w:val="00D649BC"/>
    <w:rPr>
      <w:lang w:val="en-US"/>
    </w:rPr>
  </w:style>
  <w:style w:type="paragraph" w:customStyle="1" w:styleId="Appendix1">
    <w:name w:val="Appendix 1"/>
    <w:basedOn w:val="Normal"/>
    <w:link w:val="Appendix1Char"/>
    <w:qFormat/>
    <w:rsid w:val="00D649BC"/>
    <w:pPr>
      <w:jc w:val="center"/>
    </w:pPr>
    <w:rPr>
      <w:b/>
      <w:color w:val="222A35" w:themeColor="text2" w:themeShade="80"/>
      <w:sz w:val="28"/>
    </w:rPr>
  </w:style>
  <w:style w:type="character" w:customStyle="1" w:styleId="Appendix1Char">
    <w:name w:val="Appendix 1 Char"/>
    <w:basedOn w:val="DefaultParagraphFont"/>
    <w:link w:val="Appendix1"/>
    <w:rsid w:val="00D649BC"/>
    <w:rPr>
      <w:b/>
      <w:color w:val="222A35" w:themeColor="text2" w:themeShade="80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4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9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4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9BC"/>
    <w:rPr>
      <w:lang w:val="en-US"/>
    </w:rPr>
  </w:style>
  <w:style w:type="table" w:styleId="TableGrid">
    <w:name w:val="Table Grid"/>
    <w:basedOn w:val="TableNormal"/>
    <w:uiPriority w:val="39"/>
    <w:rsid w:val="006F4C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6F4CDB"/>
    <w:pPr>
      <w:numPr>
        <w:numId w:val="7"/>
      </w:numPr>
      <w:spacing w:after="40" w:line="259" w:lineRule="auto"/>
      <w:ind w:left="720" w:hanging="360"/>
      <w:contextualSpacing w:val="0"/>
    </w:pPr>
    <w:rPr>
      <w:lang w:val="en-CA"/>
    </w:rPr>
  </w:style>
  <w:style w:type="character" w:customStyle="1" w:styleId="bulletsChar">
    <w:name w:val="bullets Char"/>
    <w:basedOn w:val="DefaultParagraphFont"/>
    <w:link w:val="bullets"/>
    <w:rsid w:val="006F4CDB"/>
  </w:style>
  <w:style w:type="paragraph" w:customStyle="1" w:styleId="Appendix2">
    <w:name w:val="Appendix 2"/>
    <w:basedOn w:val="Appendix1"/>
    <w:link w:val="Appendix2Char"/>
    <w:qFormat/>
    <w:rsid w:val="00D05DF0"/>
    <w:pPr>
      <w:jc w:val="left"/>
    </w:pPr>
    <w:rPr>
      <w:i/>
      <w:color w:val="323E4F" w:themeColor="text2" w:themeShade="BF"/>
      <w:sz w:val="24"/>
    </w:rPr>
  </w:style>
  <w:style w:type="character" w:customStyle="1" w:styleId="Appendix2Char">
    <w:name w:val="Appendix 2 Char"/>
    <w:basedOn w:val="Appendix1Char"/>
    <w:link w:val="Appendix2"/>
    <w:rsid w:val="00D05DF0"/>
    <w:rPr>
      <w:b/>
      <w:i/>
      <w:color w:val="323E4F" w:themeColor="text2" w:themeShade="BF"/>
      <w:sz w:val="24"/>
      <w:lang w:val="en-US"/>
    </w:rPr>
  </w:style>
  <w:style w:type="character" w:styleId="Strong">
    <w:name w:val="Strong"/>
    <w:basedOn w:val="DefaultParagraphFont"/>
    <w:uiPriority w:val="22"/>
    <w:qFormat/>
    <w:rsid w:val="00954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vic.ca/learningandteaching/index.php" TargetMode="External"/><Relationship Id="rId18" Type="http://schemas.openxmlformats.org/officeDocument/2006/relationships/hyperlink" Target="https://www.uvic.ca/strategicframework/index.php" TargetMode="External"/><Relationship Id="rId26" Type="http://schemas.openxmlformats.org/officeDocument/2006/relationships/hyperlink" Target="https://www.uvic.ca/systems/support/informationsecurity/phishing/index.php" TargetMode="External"/><Relationship Id="rId21" Type="http://schemas.openxmlformats.org/officeDocument/2006/relationships/hyperlink" Target="https://www.uvic.ca/home/about/facts-reports/strategic-plan/index.php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uvic.ca/netlink/get/aboutYou/" TargetMode="External"/><Relationship Id="rId12" Type="http://schemas.openxmlformats.org/officeDocument/2006/relationships/hyperlink" Target="https://www.uvic.ca/onecard/" TargetMode="External"/><Relationship Id="rId17" Type="http://schemas.openxmlformats.org/officeDocument/2006/relationships/hyperlink" Target="https://www.uvic.ca/til/services/home/workshops/index.php" TargetMode="External"/><Relationship Id="rId25" Type="http://schemas.openxmlformats.org/officeDocument/2006/relationships/hyperlink" Target="https://www.uvic.ca/ohse/health/harassment/index.php" TargetMode="External"/><Relationship Id="rId33" Type="http://schemas.openxmlformats.org/officeDocument/2006/relationships/hyperlink" Target="mailto:FRrecruit@uvic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vic.ca/graduatestudies/assets/docs/docs/policies/Graduate%20Supervision%20Policy.pdf" TargetMode="External"/><Relationship Id="rId20" Type="http://schemas.openxmlformats.org/officeDocument/2006/relationships/hyperlink" Target="https://www.uvic.ca/international/home/international-plan/index.php" TargetMode="External"/><Relationship Id="rId29" Type="http://schemas.openxmlformats.org/officeDocument/2006/relationships/hyperlink" Target="https://www.uvic.ca/services/indigeno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ic.ca/security/parking/campus/cycling/index.php" TargetMode="External"/><Relationship Id="rId24" Type="http://schemas.openxmlformats.org/officeDocument/2006/relationships/hyperlink" Target="https://www.uvic.ca/vpfo/departments/privacy/training/index.php" TargetMode="External"/><Relationship Id="rId32" Type="http://schemas.openxmlformats.org/officeDocument/2006/relationships/hyperlink" Target="https://www.uvic.ca/systems/support/helpsupport/training/index-old.ph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gov.bc.ca/gov/content/taxes/income-taxes/personal/forms-publications" TargetMode="External"/><Relationship Id="rId23" Type="http://schemas.openxmlformats.org/officeDocument/2006/relationships/hyperlink" Target="https://www.uvic.ca/universitysecretary/" TargetMode="External"/><Relationship Id="rId28" Type="http://schemas.openxmlformats.org/officeDocument/2006/relationships/hyperlink" Target="https://www.uvic.ca/equity/index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vic.ca/security/parking/employeebus/index.php" TargetMode="External"/><Relationship Id="rId19" Type="http://schemas.openxmlformats.org/officeDocument/2006/relationships/hyperlink" Target="https://www.uvic.ca/strategicframework/about/plans/index.php" TargetMode="External"/><Relationship Id="rId31" Type="http://schemas.openxmlformats.org/officeDocument/2006/relationships/hyperlink" Target="https://www.uvic.ca/current-faculty-staff/home/resource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ic.ca/security/parking/" TargetMode="External"/><Relationship Id="rId14" Type="http://schemas.openxmlformats.org/officeDocument/2006/relationships/hyperlink" Target="https://www.canada.ca/en/revenue-agency/services/forms-publications/td1-personal-tax-credits-returns.html" TargetMode="External"/><Relationship Id="rId22" Type="http://schemas.openxmlformats.org/officeDocument/2006/relationships/hyperlink" Target="https://www.uvic.ca/universitysecretary/policies/index.php" TargetMode="External"/><Relationship Id="rId27" Type="http://schemas.openxmlformats.org/officeDocument/2006/relationships/hyperlink" Target="http://www.uvicfa.ca/" TargetMode="External"/><Relationship Id="rId30" Type="http://schemas.openxmlformats.org/officeDocument/2006/relationships/hyperlink" Target="https://www.uvic.ca/hr/health-wellness/employee-family-assistance/index.php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uvic.ca/home/about/victoria/index.php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akmckay</dc:creator>
  <cp:keywords/>
  <dc:description/>
  <cp:lastModifiedBy>akmckay</cp:lastModifiedBy>
  <cp:revision>2</cp:revision>
  <dcterms:created xsi:type="dcterms:W3CDTF">2019-12-13T20:23:00Z</dcterms:created>
  <dcterms:modified xsi:type="dcterms:W3CDTF">2019-12-13T20:23:00Z</dcterms:modified>
</cp:coreProperties>
</file>