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608" w:type="dxa"/>
        <w:tblLook w:val="0000" w:firstRow="0" w:lastRow="0" w:firstColumn="0" w:lastColumn="0" w:noHBand="0" w:noVBand="0"/>
      </w:tblPr>
      <w:tblGrid>
        <w:gridCol w:w="742"/>
        <w:gridCol w:w="3369"/>
        <w:gridCol w:w="2551"/>
        <w:gridCol w:w="2977"/>
        <w:gridCol w:w="3969"/>
      </w:tblGrid>
      <w:tr w:rsidR="00864B90" w:rsidRPr="003F56EC" w14:paraId="797A42EE" w14:textId="77777777" w:rsidTr="00FF336F">
        <w:trPr>
          <w:tblHeader/>
        </w:trPr>
        <w:tc>
          <w:tcPr>
            <w:tcW w:w="742" w:type="dxa"/>
            <w:vAlign w:val="center"/>
          </w:tcPr>
          <w:p w14:paraId="37ABE066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69" w:type="dxa"/>
          </w:tcPr>
          <w:p w14:paraId="57CC8BE2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1F4D58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E7068F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F34A67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5DFB" w:rsidRPr="003F56EC" w14:paraId="19D52CC7" w14:textId="77777777" w:rsidTr="00FF336F">
        <w:trPr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BDB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D318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EDB9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047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Who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71E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41915" w:rsidRPr="003F56EC" w14:paraId="20BC7563" w14:textId="77777777" w:rsidTr="00FF336F">
        <w:trPr>
          <w:trHeight w:val="6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8E95" w14:textId="55884A58" w:rsidR="00C41915" w:rsidRPr="003F56EC" w:rsidRDefault="00C41915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E20" w14:textId="77777777" w:rsidR="00C41915" w:rsidRPr="003F56EC" w:rsidRDefault="00C41915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 xml:space="preserve">Consult </w:t>
            </w:r>
            <w:r w:rsidR="00C21B13" w:rsidRPr="003F56EC">
              <w:rPr>
                <w:rFonts w:ascii="Aptos" w:hAnsi="Aptos" w:cstheme="minorHAnsi"/>
                <w:sz w:val="22"/>
                <w:szCs w:val="22"/>
              </w:rPr>
              <w:t xml:space="preserve">the </w:t>
            </w:r>
            <w:proofErr w:type="gramStart"/>
            <w:r w:rsidR="00C21B13" w:rsidRPr="003F56EC">
              <w:rPr>
                <w:rFonts w:ascii="Aptos" w:hAnsi="Aptos" w:cstheme="minorHAnsi"/>
                <w:sz w:val="22"/>
                <w:szCs w:val="22"/>
              </w:rPr>
              <w:t>disciplinary</w:t>
            </w:r>
            <w:proofErr w:type="gramEnd"/>
            <w:r w:rsidR="00C21B13" w:rsidRPr="003F56EC">
              <w:rPr>
                <w:rFonts w:ascii="Aptos" w:hAnsi="Aptos" w:cstheme="minorHAnsi"/>
                <w:sz w:val="22"/>
                <w:szCs w:val="22"/>
              </w:rPr>
              <w:t xml:space="preserve"> Dean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CDB" w14:textId="13C28CC3" w:rsidR="00C41915" w:rsidRPr="003F56EC" w:rsidRDefault="00C41915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Discussion re</w:t>
            </w:r>
            <w:r w:rsidR="00406849">
              <w:rPr>
                <w:rFonts w:ascii="Aptos" w:hAnsi="Aptos" w:cstheme="minorHAnsi"/>
                <w:sz w:val="22"/>
                <w:szCs w:val="22"/>
              </w:rPr>
              <w:t>:</w:t>
            </w:r>
            <w:r w:rsidRPr="003F56EC">
              <w:rPr>
                <w:rFonts w:ascii="Aptos" w:hAnsi="Aptos" w:cstheme="minorHAnsi"/>
                <w:sz w:val="22"/>
                <w:szCs w:val="22"/>
              </w:rPr>
              <w:t xml:space="preserve"> academic planning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3F1F" w14:textId="77777777" w:rsidR="00C41915" w:rsidRPr="003F56EC" w:rsidRDefault="00C21B13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Head of 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FA1" w14:textId="23332382" w:rsidR="00C41915" w:rsidRPr="003F56EC" w:rsidRDefault="00264F1D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Disciplinary Dean</w:t>
            </w:r>
            <w:r w:rsidR="00C41915" w:rsidRPr="003F56EC">
              <w:rPr>
                <w:rFonts w:ascii="Aptos" w:hAnsi="Aptos" w:cstheme="minorHAnsi"/>
                <w:sz w:val="22"/>
                <w:szCs w:val="22"/>
              </w:rPr>
              <w:t xml:space="preserve"> to </w:t>
            </w:r>
            <w:r w:rsidR="00276016">
              <w:rPr>
                <w:rFonts w:ascii="Aptos" w:hAnsi="Aptos" w:cstheme="minorHAnsi"/>
                <w:sz w:val="22"/>
                <w:szCs w:val="22"/>
              </w:rPr>
              <w:t xml:space="preserve">confirm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change </w:t>
            </w:r>
            <w:r w:rsidR="00C41915" w:rsidRPr="003F56EC">
              <w:rPr>
                <w:rFonts w:ascii="Aptos" w:hAnsi="Aptos" w:cstheme="minorHAnsi"/>
                <w:sz w:val="22"/>
                <w:szCs w:val="22"/>
              </w:rPr>
              <w:t>as a priority</w:t>
            </w:r>
            <w:r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</w:tr>
      <w:tr w:rsidR="00085DFB" w:rsidRPr="003F56EC" w14:paraId="1D684548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1EE5" w14:textId="6898E690" w:rsidR="00C72853" w:rsidRPr="003F56EC" w:rsidRDefault="003C72BD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1F6B" w14:textId="0DA0DAE2" w:rsidR="00C72853" w:rsidRPr="003F56EC" w:rsidRDefault="00C72853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Consult Associate Vice-President Academic Planning</w:t>
            </w:r>
            <w:r w:rsidR="00DE321B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(AVPAP)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together with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Faculty of Graduate Studies</w:t>
            </w:r>
            <w:r w:rsidR="007C0D3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(FGS)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Dean.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18D3" w14:textId="07F74E38" w:rsidR="00C72853" w:rsidRPr="003F56EC" w:rsidRDefault="00972D85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Discussion re</w:t>
            </w:r>
            <w:r w:rsidR="00276016">
              <w:rPr>
                <w:rFonts w:ascii="Aptos" w:hAnsi="Aptos" w:cstheme="minorHAnsi"/>
                <w:color w:val="000000"/>
                <w:sz w:val="22"/>
                <w:szCs w:val="22"/>
              </w:rPr>
              <w:t>: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resources to support</w:t>
            </w:r>
            <w:r w:rsidR="00B949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the proposed program</w:t>
            </w:r>
            <w:r w:rsidR="00276016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change</w:t>
            </w:r>
            <w:r w:rsidR="00B949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1F09" w14:textId="2023BCDC" w:rsidR="00C72853" w:rsidRPr="003F56EC" w:rsidRDefault="00B949F8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Head of Academic unit and disciplinary Dean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6195" w14:textId="5D5F6677" w:rsidR="00C72853" w:rsidRPr="003F56EC" w:rsidRDefault="00264F1D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If a new stream, this</w:t>
            </w:r>
            <w:r w:rsidR="006A3F8A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C7285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should appear in Faculty 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resource planning documentation.</w:t>
            </w:r>
          </w:p>
        </w:tc>
      </w:tr>
      <w:tr w:rsidR="00085DFB" w:rsidRPr="003F56EC" w14:paraId="2D47D6AA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ED1" w14:textId="4CD1FEEC" w:rsidR="00E82043" w:rsidRPr="003F56EC" w:rsidRDefault="003C72BD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9296" w14:textId="57342460" w:rsidR="00E82043" w:rsidRPr="003F56EC" w:rsidRDefault="00FD3D02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Consult </w:t>
            </w:r>
            <w:r w:rsidR="00FD3986" w:rsidRPr="00FD3986">
              <w:rPr>
                <w:rFonts w:ascii="Aptos" w:hAnsi="Aptos" w:cstheme="minorHAnsi"/>
                <w:color w:val="000000"/>
                <w:sz w:val="22"/>
                <w:szCs w:val="22"/>
              </w:rPr>
              <w:t>FGS Administrative Manager</w:t>
            </w:r>
            <w:r w:rsidR="00FD3986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E8204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to review process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&amp; </w:t>
            </w:r>
            <w:r w:rsidR="00E8204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timelines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for </w:t>
            </w:r>
            <w:r w:rsidR="001D638D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GEC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approval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7C74" w14:textId="77777777" w:rsidR="00E82043" w:rsidRPr="003F56EC" w:rsidRDefault="00E82043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40A3" w14:textId="77777777" w:rsidR="00E82043" w:rsidRPr="003F56EC" w:rsidRDefault="00E82043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Representative from the </w:t>
            </w:r>
            <w:r w:rsidR="006436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cademic </w:t>
            </w:r>
            <w:r w:rsidR="006436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u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nit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8688" w14:textId="1610FFF1" w:rsidR="00E82043" w:rsidRPr="003F56EC" w:rsidRDefault="00FD3D02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Discuss 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FGS and 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curriculum 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approval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process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and requirements</w:t>
            </w:r>
            <w:r w:rsidR="00B949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0F6814" w:rsidRPr="003F56EC" w14:paraId="32FCDF0E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07A2" w14:textId="2F2D910E" w:rsidR="000F6814" w:rsidRPr="003F56EC" w:rsidRDefault="000F6814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9D74" w14:textId="77777777" w:rsidR="000F6814" w:rsidRPr="003F56EC" w:rsidRDefault="000F6814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Create Kuali entry with appropriate approval workflow.</w:t>
            </w:r>
          </w:p>
          <w:p w14:paraId="67CD4F8B" w14:textId="77777777" w:rsidR="000F6814" w:rsidRPr="003F56EC" w:rsidRDefault="000F6814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A71709F" w14:textId="693815D1" w:rsidR="000F6814" w:rsidRPr="003F56EC" w:rsidRDefault="000F6814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S</w:t>
            </w:r>
            <w:r w:rsidR="007C0D3E" w:rsidRPr="003F56EC">
              <w:rPr>
                <w:rFonts w:ascii="Aptos" w:hAnsi="Aptos" w:cstheme="minorHAnsi"/>
                <w:sz w:val="22"/>
                <w:szCs w:val="22"/>
              </w:rPr>
              <w:t xml:space="preserve">enate Committee on Curriculum </w:t>
            </w:r>
            <w:r w:rsidR="00CC7020" w:rsidRPr="003F56EC">
              <w:rPr>
                <w:rFonts w:ascii="Aptos" w:hAnsi="Aptos" w:cstheme="minorHAnsi"/>
                <w:sz w:val="22"/>
                <w:szCs w:val="22"/>
              </w:rPr>
              <w:t xml:space="preserve">(SCC) </w:t>
            </w:r>
            <w:r w:rsidRPr="003F56EC">
              <w:rPr>
                <w:rFonts w:ascii="Aptos" w:hAnsi="Aptos" w:cstheme="minorHAnsi"/>
                <w:sz w:val="22"/>
                <w:szCs w:val="22"/>
              </w:rPr>
              <w:t>approval required.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5787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Kuali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918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BB8" w14:textId="18879988" w:rsidR="000F6814" w:rsidRPr="003F56EC" w:rsidRDefault="00CC7020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Discuss documentation and submission to SCC.</w:t>
            </w:r>
          </w:p>
        </w:tc>
      </w:tr>
      <w:tr w:rsidR="000F6814" w:rsidRPr="003F56EC" w14:paraId="51937349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F46E" w14:textId="0222A074" w:rsidR="000F6814" w:rsidRPr="003F56EC" w:rsidRDefault="000F6814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2EB" w14:textId="1F329B47" w:rsidR="002A2A78" w:rsidRPr="003F56EC" w:rsidRDefault="000F6814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Complete </w:t>
            </w:r>
            <w:r w:rsidR="00264F1D">
              <w:rPr>
                <w:rFonts w:ascii="Aptos" w:hAnsi="Aptos" w:cstheme="minorHAnsi"/>
                <w:color w:val="000000"/>
                <w:sz w:val="22"/>
                <w:szCs w:val="22"/>
              </w:rPr>
              <w:t>Graduate Program Change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Template; obtain all required approvals as indicated on the template</w:t>
            </w:r>
            <w:r w:rsidR="00DF44C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. </w:t>
            </w:r>
          </w:p>
          <w:p w14:paraId="1DE863B7" w14:textId="77777777" w:rsidR="003F56EC" w:rsidRPr="003F56EC" w:rsidRDefault="003F56EC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41C8F795" w14:textId="77777777" w:rsidR="006C39D1" w:rsidRDefault="006C39D1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35A093A9" w14:textId="5B9CADA9" w:rsidR="000B4FD3" w:rsidRPr="005634AF" w:rsidRDefault="000B4FD3" w:rsidP="000B4FD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Submit the proposal to AVPAP along with an internal consultation form for each area of consultation. The proposal will then be posted to a secure MS Teams channel for internal consultation. Once complete, the proposal will be returned </w:t>
            </w:r>
            <w:r w:rsidR="00462130">
              <w:rPr>
                <w:rFonts w:ascii="Aptos" w:hAnsi="Aptos"/>
                <w:sz w:val="22"/>
                <w:szCs w:val="22"/>
              </w:rPr>
              <w:t>to the</w:t>
            </w:r>
            <w:r>
              <w:rPr>
                <w:rFonts w:ascii="Aptos" w:hAnsi="Aptos"/>
                <w:sz w:val="22"/>
                <w:szCs w:val="22"/>
              </w:rPr>
              <w:t xml:space="preserve"> unit for revision.</w:t>
            </w:r>
          </w:p>
          <w:p w14:paraId="6C4D8E63" w14:textId="77777777" w:rsidR="000B4FD3" w:rsidRDefault="000B4FD3" w:rsidP="000B4FD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765C5D8E" w14:textId="51614C1D" w:rsidR="000B4FD3" w:rsidRPr="003F56EC" w:rsidRDefault="000B4FD3" w:rsidP="000B4FD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Internal consultations must be initiated </w:t>
            </w:r>
            <w:r w:rsidRPr="00AA7B3A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at least eight (8) weeks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 xml:space="preserve">before the GEC </w:t>
            </w:r>
            <w:r w:rsidR="00FD3986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submission</w:t>
            </w:r>
            <w:r w:rsidR="00FD3986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FD3986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deadline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via the SCP Consultations MS Teams channel.</w:t>
            </w:r>
          </w:p>
          <w:p w14:paraId="507DF883" w14:textId="77777777" w:rsidR="000B4FD3" w:rsidRPr="003F56EC" w:rsidRDefault="000B4FD3" w:rsidP="000B4FD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*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 co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mplete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d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 form for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  <w:u w:val="single"/>
              </w:rPr>
              <w:t>each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 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must be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submit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ted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with the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final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proposal.</w:t>
            </w:r>
          </w:p>
          <w:p w14:paraId="0BB39109" w14:textId="77777777" w:rsidR="000B4FD3" w:rsidRPr="003F56EC" w:rsidRDefault="000B4FD3" w:rsidP="000B4FD3">
            <w:pPr>
              <w:pStyle w:val="Default"/>
            </w:pPr>
          </w:p>
          <w:p w14:paraId="417ED95B" w14:textId="02CFB8C6" w:rsidR="00663AAA" w:rsidRPr="003F56EC" w:rsidRDefault="000B4FD3" w:rsidP="000B4FD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If non-standard tuition and/or special fees are proposed, complete and submit tuition template to AVPAP </w:t>
            </w:r>
            <w:r w:rsidRPr="004068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separate</w:t>
            </w:r>
            <w:r w:rsidRPr="004068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from the proposal.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291" w14:textId="1801D3BC" w:rsidR="000F6814" w:rsidRPr="003F56EC" w:rsidRDefault="00332925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 xml:space="preserve">Approval steps for new </w:t>
            </w:r>
            <w:r w:rsidR="00264F1D">
              <w:rPr>
                <w:rFonts w:ascii="Aptos" w:hAnsi="Aptos" w:cstheme="minorHAnsi"/>
                <w:color w:val="000000"/>
                <w:sz w:val="22"/>
                <w:szCs w:val="22"/>
              </w:rPr>
              <w:t>Graduate Program Change</w:t>
            </w:r>
            <w:r w:rsidR="00D342E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,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and template </w:t>
            </w:r>
            <w:r w:rsidR="006C39D1">
              <w:rPr>
                <w:rFonts w:ascii="Aptos" w:hAnsi="Aptos" w:cstheme="minorHAnsi"/>
                <w:color w:val="000000"/>
                <w:sz w:val="22"/>
                <w:szCs w:val="22"/>
              </w:rPr>
              <w:t>on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VPAC website</w:t>
            </w:r>
            <w:r w:rsidR="00D342E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  <w:p w14:paraId="5A04B862" w14:textId="77777777" w:rsidR="00D342EE" w:rsidRPr="003F56EC" w:rsidRDefault="00D342EE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D0375D7" w14:textId="77777777" w:rsidR="006C39D1" w:rsidRDefault="006C39D1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6553523B" w14:textId="3DD5B4AA" w:rsidR="003F56EC" w:rsidRPr="003F56EC" w:rsidRDefault="006C39D1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Internal consultation template on VPAC website.</w:t>
            </w:r>
          </w:p>
          <w:p w14:paraId="57C670DB" w14:textId="77777777" w:rsidR="00D342EE" w:rsidRDefault="00D342EE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BFDCE30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5B15D33E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A6754F2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8EC9E56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636D8B7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0AD9093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1F4F4538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A6506D7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02660925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12457CE0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032171F1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1DB98FF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AAA74B7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687D679A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9B25178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B6CC61B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655D5C49" w14:textId="77777777" w:rsidR="000B4FD3" w:rsidRDefault="000B4FD3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A655725" w14:textId="16F8E45C" w:rsidR="003F56EC" w:rsidRPr="003F56EC" w:rsidRDefault="003F56EC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Non-standard tuition template on VPAC site.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ED2C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6F3F" w14:textId="00A7FCD0" w:rsidR="000F6814" w:rsidRPr="003F56EC" w:rsidRDefault="003F56EC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Include letters of support for external consultations</w:t>
            </w:r>
            <w:r w:rsidR="006229F6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  <w:p w14:paraId="4A4D464F" w14:textId="77777777" w:rsidR="003F56EC" w:rsidRPr="003F56EC" w:rsidRDefault="003F56EC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3CB39CCF" w14:textId="118F28F5" w:rsidR="003F56EC" w:rsidRPr="003F56EC" w:rsidRDefault="003F56EC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F56EC"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  <w:t xml:space="preserve">All program proposals require units to complete the IACE consultation template </w:t>
            </w:r>
            <w:r w:rsidRPr="003F56EC">
              <w:rPr>
                <w:rFonts w:ascii="Aptos" w:eastAsia="Calibri" w:hAnsi="Aptos"/>
                <w:kern w:val="2"/>
                <w:sz w:val="22"/>
                <w:szCs w:val="22"/>
                <w:u w:val="single"/>
                <w:lang w:val="en-CA" w:bidi="ar-SA"/>
                <w14:ligatures w14:val="standardContextual"/>
              </w:rPr>
              <w:t>and</w:t>
            </w:r>
            <w:r w:rsidRPr="003F56EC"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  <w:t xml:space="preserve"> the internal consultation template.</w:t>
            </w:r>
          </w:p>
        </w:tc>
      </w:tr>
      <w:tr w:rsidR="00406849" w:rsidRPr="003F56EC" w14:paraId="4E9DFB7E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062C" w14:textId="399329D5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60C" w14:textId="77777777" w:rsidR="00406849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Resource requirements approval (signed by the Faculty Dean)</w:t>
            </w:r>
          </w:p>
          <w:p w14:paraId="728C9F9E" w14:textId="77777777" w:rsidR="00406849" w:rsidRPr="00406849" w:rsidRDefault="00406849" w:rsidP="00FF336F">
            <w:pPr>
              <w:pStyle w:val="Default"/>
            </w:pPr>
          </w:p>
          <w:p w14:paraId="0F8A92F0" w14:textId="2583F5C6" w:rsidR="00406849" w:rsidRPr="003F56EC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*Please complete the New and Revised Academic Program Resource Requirement template and submit to the VPAC office a </w:t>
            </w:r>
            <w:r w:rsidRPr="00513637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minimum of eight (8) weeks prior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submitting this proposal to the Senate Committee on Planning.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C991" w14:textId="410818EA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 VPAC website</w:t>
            </w:r>
            <w:r w:rsidR="008C6519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B59" w14:textId="221381A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4FD8" w14:textId="70665C05" w:rsidR="00406849" w:rsidRDefault="00513637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The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should be submitted separately to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the AVPAP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only. This is not part of the proposal as resources are not considered by SCP;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however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resource requirements are considered by the Board of Governors.</w:t>
            </w:r>
          </w:p>
        </w:tc>
      </w:tr>
      <w:tr w:rsidR="00406849" w:rsidRPr="003F56EC" w14:paraId="4FB3CB42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A994E" w14:textId="5DB8A26D" w:rsidR="00406849" w:rsidRPr="003F56EC" w:rsidDel="00085DFB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A63" w14:textId="0BF06C16" w:rsidR="00406849" w:rsidRPr="003F56EC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Completed template (proposal) submitted to FGS for Graduate Executive Committee approval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285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7E4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Academic unit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A2BEC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Academic unit makes a short presentation to GEC and responds to questions.</w:t>
            </w:r>
          </w:p>
        </w:tc>
      </w:tr>
      <w:tr w:rsidR="00406849" w:rsidRPr="003F56EC" w14:paraId="1962C2F0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2513" w14:textId="0F3C10EF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367" w14:textId="59CAD7E8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 submitted to Senate Committee on Planning for approval / recommendation to Senate.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6AB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5634" w14:textId="7C9E35A9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Dean of FGS submits to AVPAP after GEC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D8B1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Faculty Dean or designate makes a short presentation to SCP and responds to questions.</w:t>
            </w:r>
          </w:p>
        </w:tc>
      </w:tr>
      <w:tr w:rsidR="00406849" w:rsidRPr="003F56EC" w14:paraId="67739874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3359" w14:textId="0E62526E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615" w14:textId="23574C8E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 submitted for Senate approval by Admin to AVPAP.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EB12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A67" w14:textId="6C55AD5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AVPAP introduces the proposal to Senate.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B97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Dean and academic unit respond to questions about academic content.</w:t>
            </w:r>
          </w:p>
        </w:tc>
      </w:tr>
      <w:tr w:rsidR="000F6814" w:rsidRPr="003F56EC" w14:paraId="2CB742E5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9DC" w14:textId="269C97E7" w:rsidR="000F6814" w:rsidRPr="00406849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017" w14:textId="71E9C9BD" w:rsidR="000F6814" w:rsidRPr="003F56EC" w:rsidRDefault="00357D3A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</w:t>
            </w:r>
            <w:r w:rsidR="000F6814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submitted 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for Board of Governors approval by Admin to AVPAP.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405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2C8" w14:textId="0A38E8C2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VPAC introduces 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the proposal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Board of Governors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34E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Resource allocations must be approved by Board</w:t>
            </w:r>
          </w:p>
        </w:tc>
      </w:tr>
    </w:tbl>
    <w:p w14:paraId="0D8E12E7" w14:textId="54AA1DC4" w:rsidR="004177E4" w:rsidRPr="00150924" w:rsidRDefault="00FF336F" w:rsidP="00F51E9A">
      <w:pPr>
        <w:pStyle w:val="Default"/>
        <w:tabs>
          <w:tab w:val="left" w:pos="6840"/>
        </w:tabs>
      </w:pPr>
      <w:r>
        <w:br w:type="textWrapping" w:clear="all"/>
      </w:r>
    </w:p>
    <w:sectPr w:rsidR="004177E4" w:rsidRPr="00150924" w:rsidSect="00150924"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51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9D29" w14:textId="77777777" w:rsidR="005717BD" w:rsidRDefault="005717BD">
      <w:r>
        <w:separator/>
      </w:r>
    </w:p>
  </w:endnote>
  <w:endnote w:type="continuationSeparator" w:id="0">
    <w:p w14:paraId="51349E08" w14:textId="77777777" w:rsidR="005717BD" w:rsidRDefault="0057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A196" w14:textId="1B80369B" w:rsidR="00D93D80" w:rsidRPr="00406849" w:rsidRDefault="00406849" w:rsidP="00406849">
    <w:pPr>
      <w:pStyle w:val="Footer"/>
      <w:rPr>
        <w:rFonts w:ascii="Aptos" w:hAnsi="Aptos"/>
        <w:color w:val="808080" w:themeColor="background1" w:themeShade="80"/>
        <w:sz w:val="20"/>
        <w:szCs w:val="20"/>
      </w:rPr>
    </w:pPr>
    <w:r>
      <w:rPr>
        <w:rFonts w:ascii="Aptos" w:hAnsi="Aptos"/>
        <w:color w:val="808080" w:themeColor="background1" w:themeShade="80"/>
        <w:sz w:val="20"/>
        <w:szCs w:val="20"/>
      </w:rPr>
      <w:t>Revised</w:t>
    </w:r>
    <w:r w:rsidR="00FD3986">
      <w:rPr>
        <w:rFonts w:ascii="Aptos" w:hAnsi="Aptos"/>
        <w:color w:val="808080" w:themeColor="background1" w:themeShade="80"/>
        <w:sz w:val="20"/>
        <w:szCs w:val="20"/>
      </w:rPr>
      <w:t xml:space="preserve"> June</w:t>
    </w:r>
    <w:r>
      <w:rPr>
        <w:rFonts w:ascii="Aptos" w:hAnsi="Aptos"/>
        <w:color w:val="808080" w:themeColor="background1" w:themeShade="80"/>
        <w:sz w:val="20"/>
        <w:szCs w:val="20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2372" w14:textId="65CD5257" w:rsidR="009F7BA5" w:rsidRPr="008C6519" w:rsidRDefault="008C6519" w:rsidP="00E47DB7">
    <w:pPr>
      <w:pStyle w:val="Footer"/>
      <w:rPr>
        <w:rFonts w:ascii="Arial" w:hAnsi="Arial" w:cs="Arial"/>
        <w:color w:val="A6A6A6" w:themeColor="background1" w:themeShade="A6"/>
        <w:sz w:val="20"/>
        <w:szCs w:val="20"/>
      </w:rPr>
    </w:pPr>
    <w:r w:rsidRPr="008C6519">
      <w:rPr>
        <w:rFonts w:ascii="Arial" w:hAnsi="Arial" w:cs="Arial"/>
        <w:color w:val="A6A6A6" w:themeColor="background1" w:themeShade="A6"/>
        <w:sz w:val="20"/>
        <w:szCs w:val="20"/>
      </w:rPr>
      <w:t xml:space="preserve">Revised </w:t>
    </w:r>
    <w:r w:rsidR="00FD3986">
      <w:rPr>
        <w:rFonts w:ascii="Arial" w:hAnsi="Arial" w:cs="Arial"/>
        <w:color w:val="A6A6A6" w:themeColor="background1" w:themeShade="A6"/>
        <w:sz w:val="20"/>
        <w:szCs w:val="20"/>
      </w:rPr>
      <w:t>June</w:t>
    </w:r>
    <w:r w:rsidR="00D93D80" w:rsidRPr="008C6519">
      <w:rPr>
        <w:rFonts w:ascii="Arial" w:hAnsi="Arial" w:cs="Arial"/>
        <w:color w:val="A6A6A6" w:themeColor="background1" w:themeShade="A6"/>
        <w:sz w:val="20"/>
        <w:szCs w:val="20"/>
      </w:rPr>
      <w:t xml:space="preserve"> 202</w:t>
    </w:r>
    <w:r w:rsidR="001D638D" w:rsidRPr="008C6519">
      <w:rPr>
        <w:rFonts w:ascii="Arial" w:hAnsi="Arial" w:cs="Arial"/>
        <w:color w:val="A6A6A6" w:themeColor="background1" w:themeShade="A6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41A0" w14:textId="77777777" w:rsidR="005717BD" w:rsidRDefault="005717BD">
      <w:r>
        <w:separator/>
      </w:r>
    </w:p>
  </w:footnote>
  <w:footnote w:type="continuationSeparator" w:id="0">
    <w:p w14:paraId="6896F98F" w14:textId="77777777" w:rsidR="005717BD" w:rsidRDefault="0057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FE04" w14:textId="492125E2" w:rsidR="000F6814" w:rsidRPr="001D638D" w:rsidRDefault="001D638D" w:rsidP="003C4EFD">
    <w:pPr>
      <w:pStyle w:val="Header"/>
      <w:tabs>
        <w:tab w:val="clear" w:pos="4320"/>
        <w:tab w:val="clear" w:pos="8640"/>
        <w:tab w:val="left" w:pos="284"/>
        <w:tab w:val="center" w:pos="1620"/>
        <w:tab w:val="right" w:pos="9360"/>
      </w:tabs>
      <w:jc w:val="center"/>
      <w:rPr>
        <w:sz w:val="20"/>
        <w:szCs w:val="20"/>
      </w:rPr>
    </w:pPr>
    <w:r w:rsidRPr="00FC2E6A">
      <w:rPr>
        <w:noProof/>
      </w:rPr>
      <w:drawing>
        <wp:anchor distT="0" distB="0" distL="114300" distR="114300" simplePos="0" relativeHeight="251658752" behindDoc="0" locked="0" layoutInCell="1" allowOverlap="1" wp14:anchorId="1962FD4B" wp14:editId="059BD5FB">
          <wp:simplePos x="0" y="0"/>
          <wp:positionH relativeFrom="column">
            <wp:posOffset>238125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43" w:rsidRPr="00CC435F">
      <w:rPr>
        <w:rFonts w:ascii="Arial" w:hAnsi="Arial" w:cs="Arial"/>
        <w:b/>
        <w:bCs/>
        <w:color w:val="000000"/>
        <w:sz w:val="28"/>
        <w:szCs w:val="28"/>
      </w:rPr>
      <w:t xml:space="preserve">Graduate </w:t>
    </w:r>
    <w:r w:rsidR="00950B7C">
      <w:rPr>
        <w:rFonts w:ascii="Arial" w:hAnsi="Arial" w:cs="Arial"/>
        <w:b/>
        <w:bCs/>
        <w:color w:val="000000"/>
        <w:sz w:val="28"/>
        <w:szCs w:val="28"/>
      </w:rPr>
      <w:t>Program</w:t>
    </w:r>
    <w:r w:rsidR="00264F1D">
      <w:rPr>
        <w:rFonts w:ascii="Arial" w:hAnsi="Arial" w:cs="Arial"/>
        <w:b/>
        <w:bCs/>
        <w:color w:val="000000"/>
        <w:sz w:val="28"/>
        <w:szCs w:val="28"/>
      </w:rPr>
      <w:t xml:space="preserve"> Change</w:t>
    </w:r>
  </w:p>
  <w:p w14:paraId="3839ADFB" w14:textId="2043A331" w:rsidR="00E82043" w:rsidRDefault="00E82043" w:rsidP="003C4EFD">
    <w:pPr>
      <w:pStyle w:val="Header"/>
      <w:tabs>
        <w:tab w:val="clear" w:pos="4320"/>
        <w:tab w:val="clear" w:pos="8640"/>
        <w:tab w:val="left" w:pos="1440"/>
        <w:tab w:val="center" w:pos="1620"/>
        <w:tab w:val="center" w:pos="7200"/>
        <w:tab w:val="right" w:pos="9360"/>
      </w:tabs>
      <w:jc w:val="center"/>
      <w:rPr>
        <w:rFonts w:ascii="Arial" w:hAnsi="Arial" w:cs="Arial"/>
        <w:b/>
        <w:bCs/>
        <w:color w:val="000000"/>
        <w:sz w:val="28"/>
        <w:szCs w:val="28"/>
      </w:rPr>
    </w:pPr>
    <w:r w:rsidRPr="00CC435F">
      <w:rPr>
        <w:rFonts w:ascii="Arial" w:hAnsi="Arial" w:cs="Arial"/>
        <w:b/>
        <w:bCs/>
        <w:color w:val="000000"/>
        <w:sz w:val="28"/>
        <w:szCs w:val="28"/>
      </w:rPr>
      <w:t>Approval Process</w:t>
    </w:r>
  </w:p>
  <w:p w14:paraId="0B72784C" w14:textId="77777777" w:rsidR="003C4EFD" w:rsidRPr="00CC435F" w:rsidRDefault="003C4EFD" w:rsidP="003C4EFD">
    <w:pPr>
      <w:pStyle w:val="Header"/>
      <w:pBdr>
        <w:bottom w:val="single" w:sz="12" w:space="1" w:color="0070C0"/>
      </w:pBdr>
      <w:tabs>
        <w:tab w:val="clear" w:pos="4320"/>
        <w:tab w:val="clear" w:pos="8640"/>
        <w:tab w:val="left" w:pos="1440"/>
        <w:tab w:val="center" w:pos="1620"/>
        <w:tab w:val="center" w:pos="7200"/>
        <w:tab w:val="right" w:pos="9360"/>
      </w:tabs>
      <w:rPr>
        <w:sz w:val="28"/>
        <w:szCs w:val="28"/>
      </w:rPr>
    </w:pPr>
  </w:p>
  <w:p w14:paraId="17D43773" w14:textId="77777777" w:rsidR="00E82043" w:rsidRDefault="00E8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DE6CDE"/>
    <w:multiLevelType w:val="hybridMultilevel"/>
    <w:tmpl w:val="A8DEA11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05480AB"/>
    <w:multiLevelType w:val="hybridMultilevel"/>
    <w:tmpl w:val="C62C312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50B632A"/>
    <w:multiLevelType w:val="hybridMultilevel"/>
    <w:tmpl w:val="97BFE3B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3B4A5E"/>
    <w:multiLevelType w:val="hybridMultilevel"/>
    <w:tmpl w:val="C07824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F8A13A6"/>
    <w:multiLevelType w:val="hybridMultilevel"/>
    <w:tmpl w:val="9754CF7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34B51D4"/>
    <w:multiLevelType w:val="hybridMultilevel"/>
    <w:tmpl w:val="730677D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47466676">
    <w:abstractNumId w:val="3"/>
  </w:num>
  <w:num w:numId="2" w16cid:durableId="1873836078">
    <w:abstractNumId w:val="4"/>
  </w:num>
  <w:num w:numId="3" w16cid:durableId="771825882">
    <w:abstractNumId w:val="5"/>
  </w:num>
  <w:num w:numId="4" w16cid:durableId="872959653">
    <w:abstractNumId w:val="0"/>
  </w:num>
  <w:num w:numId="5" w16cid:durableId="1850950735">
    <w:abstractNumId w:val="1"/>
  </w:num>
  <w:num w:numId="6" w16cid:durableId="118948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20"/>
    <w:rsid w:val="000178FA"/>
    <w:rsid w:val="0003208F"/>
    <w:rsid w:val="00067A59"/>
    <w:rsid w:val="00071A85"/>
    <w:rsid w:val="00080B4F"/>
    <w:rsid w:val="00085DFB"/>
    <w:rsid w:val="000B4FD3"/>
    <w:rsid w:val="000F6814"/>
    <w:rsid w:val="000F7E87"/>
    <w:rsid w:val="001258C4"/>
    <w:rsid w:val="00150924"/>
    <w:rsid w:val="00164285"/>
    <w:rsid w:val="00190BFD"/>
    <w:rsid w:val="001B16A9"/>
    <w:rsid w:val="001C1078"/>
    <w:rsid w:val="001D638D"/>
    <w:rsid w:val="00201DAF"/>
    <w:rsid w:val="00207877"/>
    <w:rsid w:val="002379A6"/>
    <w:rsid w:val="00264F1D"/>
    <w:rsid w:val="00276016"/>
    <w:rsid w:val="002A2A78"/>
    <w:rsid w:val="002E61E9"/>
    <w:rsid w:val="002F61AB"/>
    <w:rsid w:val="00332925"/>
    <w:rsid w:val="003503A5"/>
    <w:rsid w:val="00357D3A"/>
    <w:rsid w:val="00360A41"/>
    <w:rsid w:val="003C4EFD"/>
    <w:rsid w:val="003C72BD"/>
    <w:rsid w:val="003F1084"/>
    <w:rsid w:val="003F56EC"/>
    <w:rsid w:val="00406849"/>
    <w:rsid w:val="004177E4"/>
    <w:rsid w:val="00462130"/>
    <w:rsid w:val="00462BA3"/>
    <w:rsid w:val="00470B8B"/>
    <w:rsid w:val="00513637"/>
    <w:rsid w:val="005603C0"/>
    <w:rsid w:val="005717BD"/>
    <w:rsid w:val="0059420E"/>
    <w:rsid w:val="005D74C7"/>
    <w:rsid w:val="006229F6"/>
    <w:rsid w:val="006436F8"/>
    <w:rsid w:val="00655AFD"/>
    <w:rsid w:val="00663AAA"/>
    <w:rsid w:val="006A0A32"/>
    <w:rsid w:val="006A3F8A"/>
    <w:rsid w:val="006C39D1"/>
    <w:rsid w:val="00707486"/>
    <w:rsid w:val="00720AE4"/>
    <w:rsid w:val="0075422B"/>
    <w:rsid w:val="00780229"/>
    <w:rsid w:val="0078667E"/>
    <w:rsid w:val="00796920"/>
    <w:rsid w:val="007C0D3E"/>
    <w:rsid w:val="007F016B"/>
    <w:rsid w:val="00826ADA"/>
    <w:rsid w:val="00861C3D"/>
    <w:rsid w:val="00864B90"/>
    <w:rsid w:val="008763CC"/>
    <w:rsid w:val="00890B1B"/>
    <w:rsid w:val="008C62E8"/>
    <w:rsid w:val="008C6519"/>
    <w:rsid w:val="008E71CA"/>
    <w:rsid w:val="0092361D"/>
    <w:rsid w:val="00950B7C"/>
    <w:rsid w:val="00972D85"/>
    <w:rsid w:val="009F2836"/>
    <w:rsid w:val="009F5826"/>
    <w:rsid w:val="009F7BA5"/>
    <w:rsid w:val="00A36431"/>
    <w:rsid w:val="00A546CE"/>
    <w:rsid w:val="00A9108A"/>
    <w:rsid w:val="00B823DE"/>
    <w:rsid w:val="00B949F8"/>
    <w:rsid w:val="00BB2ACB"/>
    <w:rsid w:val="00BB5D25"/>
    <w:rsid w:val="00BC52AC"/>
    <w:rsid w:val="00BD18E2"/>
    <w:rsid w:val="00BE0997"/>
    <w:rsid w:val="00BE406F"/>
    <w:rsid w:val="00C15F32"/>
    <w:rsid w:val="00C21B13"/>
    <w:rsid w:val="00C41915"/>
    <w:rsid w:val="00C72853"/>
    <w:rsid w:val="00C85CCA"/>
    <w:rsid w:val="00CC435F"/>
    <w:rsid w:val="00CC7020"/>
    <w:rsid w:val="00CD0EB5"/>
    <w:rsid w:val="00CF059C"/>
    <w:rsid w:val="00D342EE"/>
    <w:rsid w:val="00D669DF"/>
    <w:rsid w:val="00D86FF8"/>
    <w:rsid w:val="00D90438"/>
    <w:rsid w:val="00D93D80"/>
    <w:rsid w:val="00DA4360"/>
    <w:rsid w:val="00DB438F"/>
    <w:rsid w:val="00DD7748"/>
    <w:rsid w:val="00DE321B"/>
    <w:rsid w:val="00DF44C9"/>
    <w:rsid w:val="00DF728D"/>
    <w:rsid w:val="00E4061D"/>
    <w:rsid w:val="00E46824"/>
    <w:rsid w:val="00E47DB7"/>
    <w:rsid w:val="00E82043"/>
    <w:rsid w:val="00F049C7"/>
    <w:rsid w:val="00F119F1"/>
    <w:rsid w:val="00F45E4E"/>
    <w:rsid w:val="00F51E9A"/>
    <w:rsid w:val="00F81197"/>
    <w:rsid w:val="00F9204D"/>
    <w:rsid w:val="00FA2ACB"/>
    <w:rsid w:val="00FB5CAC"/>
    <w:rsid w:val="00FD3986"/>
    <w:rsid w:val="00FD3D02"/>
    <w:rsid w:val="00FE083E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C0157C"/>
  <w15:docId w15:val="{70FFA2C4-4D5F-4E61-A428-73D081A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he-IL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7E4"/>
    <w:rPr>
      <w:rFonts w:ascii="Tahoma" w:hAnsi="Tahoma" w:cs="Tahoma"/>
      <w:sz w:val="16"/>
      <w:szCs w:val="16"/>
      <w:lang w:bidi="he-IL"/>
    </w:rPr>
  </w:style>
  <w:style w:type="paragraph" w:styleId="Revision">
    <w:name w:val="Revision"/>
    <w:hidden/>
    <w:uiPriority w:val="99"/>
    <w:semiHidden/>
    <w:rsid w:val="00C21B13"/>
    <w:pPr>
      <w:spacing w:after="0" w:line="240" w:lineRule="auto"/>
    </w:pPr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 Review Policy</vt:lpstr>
    </vt:vector>
  </TitlesOfParts>
  <Company>UVic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 Review Policy</dc:title>
  <dc:creator>Jamie Cassels</dc:creator>
  <cp:lastModifiedBy>Sandra Duggan</cp:lastModifiedBy>
  <cp:revision>8</cp:revision>
  <cp:lastPrinted>2019-08-27T15:57:00Z</cp:lastPrinted>
  <dcterms:created xsi:type="dcterms:W3CDTF">2026-05-21T22:34:00Z</dcterms:created>
  <dcterms:modified xsi:type="dcterms:W3CDTF">2026-06-18T20:51:00Z</dcterms:modified>
</cp:coreProperties>
</file>