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2E66" w14:textId="4B2EE1B0" w:rsidR="00B76A81" w:rsidRPr="00FE4AF2" w:rsidRDefault="008026CD" w:rsidP="00BE56DE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2"/>
        </w:rPr>
        <w:t>Animal Care Services</w:t>
      </w:r>
      <w:r w:rsidR="00073F86" w:rsidRPr="00FE4AF2">
        <w:rPr>
          <w:rFonts w:ascii="Arial" w:hAnsi="Arial" w:cs="Arial"/>
          <w:b/>
          <w:sz w:val="22"/>
        </w:rPr>
        <w:t xml:space="preserve"> – Pharmaceuticals </w:t>
      </w:r>
      <w:r w:rsidR="00E21655" w:rsidRPr="00FE4AF2">
        <w:rPr>
          <w:rFonts w:ascii="Arial" w:hAnsi="Arial" w:cs="Arial"/>
          <w:b/>
          <w:sz w:val="22"/>
        </w:rPr>
        <w:t>for</w:t>
      </w:r>
      <w:r w:rsidR="00073F86" w:rsidRPr="00FE4AF2">
        <w:rPr>
          <w:rFonts w:ascii="Arial" w:hAnsi="Arial" w:cs="Arial"/>
          <w:b/>
          <w:sz w:val="22"/>
        </w:rPr>
        <w:t xml:space="preserve"> Use </w:t>
      </w:r>
      <w:r w:rsidR="00E21655">
        <w:rPr>
          <w:rFonts w:ascii="Arial" w:hAnsi="Arial" w:cs="Arial"/>
          <w:b/>
          <w:sz w:val="22"/>
        </w:rPr>
        <w:t>i</w:t>
      </w:r>
      <w:r w:rsidR="00B76A81" w:rsidRPr="00FE4AF2">
        <w:rPr>
          <w:rFonts w:ascii="Arial" w:hAnsi="Arial" w:cs="Arial"/>
          <w:b/>
          <w:sz w:val="22"/>
        </w:rPr>
        <w:t xml:space="preserve">n </w:t>
      </w:r>
      <w:r w:rsidR="00073F86" w:rsidRPr="00FE4AF2">
        <w:rPr>
          <w:rFonts w:ascii="Arial" w:hAnsi="Arial" w:cs="Arial"/>
          <w:b/>
          <w:sz w:val="22"/>
        </w:rPr>
        <w:t>Laboratory A</w:t>
      </w:r>
      <w:r w:rsidR="00B76A81" w:rsidRPr="00FE4AF2">
        <w:rPr>
          <w:rFonts w:ascii="Arial" w:hAnsi="Arial" w:cs="Arial"/>
          <w:b/>
          <w:sz w:val="22"/>
        </w:rPr>
        <w:t>nimals</w:t>
      </w:r>
    </w:p>
    <w:p w14:paraId="7B50BE97" w14:textId="77777777" w:rsidR="00073F86" w:rsidRPr="004053D8" w:rsidRDefault="00073F86" w:rsidP="00A5391B">
      <w:pPr>
        <w:contextualSpacing/>
        <w:rPr>
          <w:rFonts w:ascii="Arial" w:hAnsi="Arial" w:cs="Arial"/>
          <w:b/>
          <w:sz w:val="18"/>
        </w:rPr>
      </w:pPr>
      <w:r w:rsidRPr="004053D8">
        <w:rPr>
          <w:rFonts w:ascii="Arial" w:hAnsi="Arial" w:cs="Arial"/>
          <w:b/>
          <w:sz w:val="18"/>
        </w:rPr>
        <w:t xml:space="preserve">NOTES: </w:t>
      </w:r>
    </w:p>
    <w:p w14:paraId="63ACA841" w14:textId="77777777" w:rsidR="00ED54A3" w:rsidRPr="004053D8" w:rsidRDefault="00073F86" w:rsidP="00ED54A3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b/>
          <w:sz w:val="18"/>
        </w:rPr>
      </w:pPr>
      <w:r w:rsidRPr="004053D8">
        <w:rPr>
          <w:rFonts w:ascii="Arial" w:hAnsi="Arial" w:cs="Arial"/>
          <w:b/>
          <w:sz w:val="18"/>
        </w:rPr>
        <w:t>Where appropriate, dilute all medications to an appropriate “wor</w:t>
      </w:r>
      <w:r w:rsidR="00ED54A3" w:rsidRPr="004053D8">
        <w:rPr>
          <w:rFonts w:ascii="Arial" w:hAnsi="Arial" w:cs="Arial"/>
          <w:b/>
          <w:sz w:val="18"/>
        </w:rPr>
        <w:t>kable” volume based on species.</w:t>
      </w:r>
    </w:p>
    <w:p w14:paraId="71BFBA20" w14:textId="77777777" w:rsidR="00073F86" w:rsidRPr="004053D8" w:rsidRDefault="00073F86" w:rsidP="00ED54A3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b/>
          <w:sz w:val="18"/>
        </w:rPr>
      </w:pPr>
      <w:r w:rsidRPr="004053D8">
        <w:rPr>
          <w:rFonts w:ascii="Arial" w:hAnsi="Arial" w:cs="Arial"/>
          <w:b/>
          <w:sz w:val="18"/>
        </w:rPr>
        <w:t xml:space="preserve">Refer to a published formulary to confirm doses where a wide dose range or multiple dosing routes are listed. </w:t>
      </w:r>
    </w:p>
    <w:p w14:paraId="635448C5" w14:textId="77777777" w:rsidR="00D93E40" w:rsidRDefault="00DD57B5" w:rsidP="00D93E40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Where published, d</w:t>
      </w:r>
      <w:r w:rsidR="00073F86" w:rsidRPr="00D93E40">
        <w:rPr>
          <w:rFonts w:ascii="Arial" w:hAnsi="Arial" w:cs="Arial"/>
          <w:b/>
          <w:sz w:val="18"/>
        </w:rPr>
        <w:t xml:space="preserve">oses listed are based upon Carpenter’s Exotic Animal Formulary, </w:t>
      </w:r>
      <w:r w:rsidR="00882224">
        <w:rPr>
          <w:rFonts w:ascii="Arial" w:hAnsi="Arial" w:cs="Arial"/>
          <w:b/>
          <w:sz w:val="18"/>
        </w:rPr>
        <w:t>5</w:t>
      </w:r>
      <w:r w:rsidR="00073F86" w:rsidRPr="00D93E40">
        <w:rPr>
          <w:rFonts w:ascii="Arial" w:hAnsi="Arial" w:cs="Arial"/>
          <w:b/>
          <w:sz w:val="18"/>
          <w:vertAlign w:val="superscript"/>
        </w:rPr>
        <w:t>th</w:t>
      </w:r>
      <w:r w:rsidR="00073F86" w:rsidRPr="00271F61">
        <w:rPr>
          <w:rFonts w:ascii="Arial" w:hAnsi="Arial" w:cs="Arial"/>
          <w:b/>
          <w:sz w:val="18"/>
        </w:rPr>
        <w:t xml:space="preserve"> Edition, 201</w:t>
      </w:r>
      <w:r w:rsidR="00882224">
        <w:rPr>
          <w:rFonts w:ascii="Arial" w:hAnsi="Arial" w:cs="Arial"/>
          <w:b/>
          <w:sz w:val="18"/>
        </w:rPr>
        <w:t>8</w:t>
      </w:r>
      <w:r w:rsidR="00073F86" w:rsidRPr="00271F61">
        <w:rPr>
          <w:rFonts w:ascii="Arial" w:hAnsi="Arial" w:cs="Arial"/>
          <w:b/>
          <w:sz w:val="18"/>
        </w:rPr>
        <w:t xml:space="preserve"> (Elsevier, Saunders)</w:t>
      </w:r>
      <w:r w:rsidR="004053D8" w:rsidRPr="00271F61">
        <w:rPr>
          <w:rFonts w:ascii="Arial" w:hAnsi="Arial" w:cs="Arial"/>
          <w:b/>
          <w:sz w:val="18"/>
        </w:rPr>
        <w:t xml:space="preserve"> and the Veterinary Information Network Formulary for Exotic Animals </w:t>
      </w:r>
    </w:p>
    <w:p w14:paraId="3378A42E" w14:textId="77777777" w:rsidR="00ED54A3" w:rsidRDefault="00ED54A3" w:rsidP="00D93E40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b/>
          <w:sz w:val="18"/>
        </w:rPr>
      </w:pPr>
      <w:r w:rsidRPr="00D93E40">
        <w:rPr>
          <w:rFonts w:ascii="Arial" w:hAnsi="Arial" w:cs="Arial"/>
          <w:b/>
          <w:sz w:val="18"/>
        </w:rPr>
        <w:t>Definitions: IM = Intramuscularly; IP = Intraperitoneally; IV = intravenously; PO = orally; SC = subcutaneously</w:t>
      </w:r>
      <w:r w:rsidR="00435E51">
        <w:rPr>
          <w:rFonts w:ascii="Arial" w:hAnsi="Arial" w:cs="Arial"/>
          <w:b/>
          <w:sz w:val="18"/>
        </w:rPr>
        <w:t xml:space="preserve">, </w:t>
      </w:r>
      <w:r w:rsidR="00803806">
        <w:rPr>
          <w:rFonts w:ascii="Arial" w:hAnsi="Arial" w:cs="Arial"/>
          <w:b/>
          <w:sz w:val="18"/>
        </w:rPr>
        <w:t>IT = Intratracheal</w:t>
      </w:r>
      <w:r w:rsidR="00F870C1">
        <w:rPr>
          <w:rFonts w:ascii="Arial" w:hAnsi="Arial" w:cs="Arial"/>
          <w:b/>
          <w:sz w:val="18"/>
        </w:rPr>
        <w:t>ly</w:t>
      </w:r>
      <w:r w:rsidR="00803806">
        <w:rPr>
          <w:rFonts w:ascii="Arial" w:hAnsi="Arial" w:cs="Arial"/>
          <w:b/>
          <w:sz w:val="18"/>
        </w:rPr>
        <w:t xml:space="preserve">, </w:t>
      </w:r>
      <w:r w:rsidR="00435E51">
        <w:rPr>
          <w:rFonts w:ascii="Arial" w:hAnsi="Arial" w:cs="Arial"/>
          <w:b/>
          <w:sz w:val="18"/>
        </w:rPr>
        <w:t>PRN = as needed</w:t>
      </w:r>
      <w:r w:rsidR="00882224">
        <w:rPr>
          <w:rFonts w:ascii="Arial" w:hAnsi="Arial" w:cs="Arial"/>
          <w:b/>
          <w:sz w:val="18"/>
        </w:rPr>
        <w:t>, q=every</w:t>
      </w:r>
    </w:p>
    <w:p w14:paraId="363F40CB" w14:textId="1C5D570A" w:rsidR="00CF70BB" w:rsidRDefault="00CF70BB" w:rsidP="00D93E40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b/>
          <w:sz w:val="18"/>
        </w:rPr>
      </w:pPr>
      <w:r w:rsidRPr="007F4386">
        <w:rPr>
          <w:rFonts w:ascii="Arial" w:hAnsi="Arial" w:cs="Arial"/>
          <w:b/>
          <w:color w:val="FF0000"/>
          <w:sz w:val="18"/>
        </w:rPr>
        <w:t>“C”</w:t>
      </w:r>
      <w:r>
        <w:rPr>
          <w:rFonts w:ascii="Arial" w:hAnsi="Arial" w:cs="Arial"/>
          <w:b/>
          <w:sz w:val="18"/>
        </w:rPr>
        <w:t xml:space="preserve"> denotes a controlled substance, for which a Section 56 Exemption License must be obtained from Health Canada prior to use. </w:t>
      </w:r>
    </w:p>
    <w:p w14:paraId="43E0D3CE" w14:textId="77777777" w:rsidR="00F335BE" w:rsidRPr="00D93E40" w:rsidRDefault="00F335BE" w:rsidP="00F335BE">
      <w:pPr>
        <w:spacing w:after="0"/>
        <w:ind w:left="714"/>
        <w:rPr>
          <w:rFonts w:ascii="Arial" w:hAnsi="Arial" w:cs="Arial"/>
          <w:b/>
          <w:sz w:val="18"/>
        </w:rPr>
      </w:pPr>
    </w:p>
    <w:p w14:paraId="33A57B8C" w14:textId="77777777" w:rsidR="00BB1AF1" w:rsidRPr="004053D8" w:rsidRDefault="00BB1AF1" w:rsidP="00A5391B">
      <w:pPr>
        <w:spacing w:after="0"/>
        <w:ind w:left="714"/>
        <w:rPr>
          <w:rFonts w:ascii="Arial" w:hAnsi="Arial" w:cs="Arial"/>
          <w:b/>
          <w:sz w:val="18"/>
        </w:rPr>
      </w:pPr>
    </w:p>
    <w:tbl>
      <w:tblPr>
        <w:tblStyle w:val="PlainTable1"/>
        <w:tblW w:w="12616" w:type="dxa"/>
        <w:tblLook w:val="04A0" w:firstRow="1" w:lastRow="0" w:firstColumn="1" w:lastColumn="0" w:noHBand="0" w:noVBand="1"/>
      </w:tblPr>
      <w:tblGrid>
        <w:gridCol w:w="2551"/>
        <w:gridCol w:w="5245"/>
        <w:gridCol w:w="4820"/>
      </w:tblGrid>
      <w:tr w:rsidR="00DB41A9" w:rsidRPr="00F335BE" w14:paraId="272B1971" w14:textId="77777777" w:rsidTr="00F33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BDD6EE" w:themeFill="accent5" w:themeFillTint="66"/>
          </w:tcPr>
          <w:p w14:paraId="6E816E7E" w14:textId="77777777" w:rsidR="00DB41A9" w:rsidRPr="00F335BE" w:rsidRDefault="00DB41A9" w:rsidP="00FA1DF1">
            <w:pPr>
              <w:spacing w:after="0"/>
              <w:rPr>
                <w:rFonts w:ascii="Calibri" w:eastAsia="Times New Roman" w:hAnsi="Calibri"/>
                <w:szCs w:val="22"/>
              </w:rPr>
            </w:pPr>
            <w:r w:rsidRPr="00F335BE">
              <w:rPr>
                <w:rFonts w:ascii="Calibri" w:eastAsia="Times New Roman" w:hAnsi="Calibri"/>
                <w:szCs w:val="22"/>
              </w:rPr>
              <w:t>Analgesics</w:t>
            </w:r>
          </w:p>
        </w:tc>
        <w:tc>
          <w:tcPr>
            <w:tcW w:w="5245" w:type="dxa"/>
            <w:shd w:val="clear" w:color="auto" w:fill="BDD6EE" w:themeFill="accent5" w:themeFillTint="66"/>
          </w:tcPr>
          <w:p w14:paraId="7678C04C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2"/>
              </w:rPr>
            </w:pPr>
            <w:r w:rsidRPr="00F335BE">
              <w:rPr>
                <w:rFonts w:ascii="Calibri" w:eastAsia="Times New Roman" w:hAnsi="Calibri"/>
                <w:szCs w:val="22"/>
              </w:rPr>
              <w:t>Dosage/Frequency/Duration/Route</w:t>
            </w:r>
          </w:p>
          <w:p w14:paraId="11760C70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820" w:type="dxa"/>
            <w:shd w:val="clear" w:color="auto" w:fill="BDD6EE" w:themeFill="accent5" w:themeFillTint="66"/>
          </w:tcPr>
          <w:p w14:paraId="78C7DCA8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2"/>
              </w:rPr>
            </w:pPr>
            <w:r w:rsidRPr="00F335BE">
              <w:rPr>
                <w:rFonts w:ascii="Calibri" w:eastAsia="Times New Roman" w:hAnsi="Calibri"/>
                <w:szCs w:val="22"/>
              </w:rPr>
              <w:t>Maximum</w:t>
            </w:r>
          </w:p>
          <w:p w14:paraId="26690D2C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2"/>
              </w:rPr>
            </w:pPr>
            <w:r w:rsidRPr="00F335BE">
              <w:rPr>
                <w:rFonts w:ascii="Calibri" w:eastAsia="Times New Roman" w:hAnsi="Calibri"/>
                <w:szCs w:val="22"/>
              </w:rPr>
              <w:t>Volume/Animal/Site</w:t>
            </w:r>
          </w:p>
        </w:tc>
      </w:tr>
      <w:tr w:rsidR="00DB41A9" w:rsidRPr="00FA1DF1" w14:paraId="26000A71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B7BD054" w14:textId="77777777" w:rsidR="00DB41A9" w:rsidRPr="00F42B52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 w:rsidRPr="00F42B52"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Buprenorphine</w:t>
            </w:r>
          </w:p>
          <w:p w14:paraId="17F3FCE9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 w:rsidRPr="00F42B52"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(“</w:t>
            </w:r>
            <w:proofErr w:type="spellStart"/>
            <w:r w:rsidRPr="00F42B52"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Buprenex</w:t>
            </w:r>
            <w:proofErr w:type="spellEnd"/>
            <w:r w:rsidRPr="00F42B52"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”)</w:t>
            </w:r>
          </w:p>
          <w:p w14:paraId="063A3AAF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  <w:p w14:paraId="02E9FC5B" w14:textId="77777777" w:rsidR="00DB41A9" w:rsidRPr="00F335BE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color w:val="FF0000"/>
                <w:sz w:val="22"/>
                <w:szCs w:val="22"/>
              </w:rPr>
            </w:pPr>
            <w:r w:rsidRPr="00F335BE">
              <w:rPr>
                <w:rFonts w:ascii="Calibri" w:eastAsia="Times New Roman" w:hAnsi="Calibri" w:cs="Calibri"/>
                <w:bCs w:val="0"/>
                <w:color w:val="FF0000"/>
                <w:sz w:val="22"/>
                <w:szCs w:val="22"/>
              </w:rPr>
              <w:t>C</w:t>
            </w:r>
          </w:p>
        </w:tc>
        <w:tc>
          <w:tcPr>
            <w:tcW w:w="5245" w:type="dxa"/>
          </w:tcPr>
          <w:p w14:paraId="6582EC0C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42B52">
              <w:rPr>
                <w:rFonts w:ascii="Calibri" w:hAnsi="Calibri" w:cs="Calibri"/>
                <w:sz w:val="22"/>
                <w:szCs w:val="22"/>
              </w:rPr>
              <w:t xml:space="preserve">Mice: </w:t>
            </w:r>
          </w:p>
          <w:p w14:paraId="6AA68304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42B52">
              <w:rPr>
                <w:rFonts w:ascii="Calibri" w:hAnsi="Calibri" w:cs="Calibri"/>
                <w:sz w:val="22"/>
                <w:szCs w:val="22"/>
              </w:rPr>
              <w:t xml:space="preserve">0.05-0.1mg/kg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q</w:t>
            </w:r>
            <w:r w:rsidRPr="00F42B52">
              <w:rPr>
                <w:rFonts w:ascii="Calibri" w:hAnsi="Calibri" w:cs="Calibri"/>
                <w:sz w:val="22"/>
                <w:szCs w:val="22"/>
              </w:rPr>
              <w:t xml:space="preserve">12hrs </w:t>
            </w:r>
            <w:r>
              <w:rPr>
                <w:rFonts w:ascii="Calibri" w:hAnsi="Calibri" w:cs="Calibri"/>
                <w:sz w:val="22"/>
                <w:szCs w:val="22"/>
              </w:rPr>
              <w:t>SC</w:t>
            </w:r>
          </w:p>
          <w:p w14:paraId="10FD2E90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BEFF253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42B52">
              <w:rPr>
                <w:rFonts w:ascii="Calibri" w:hAnsi="Calibri" w:cs="Calibri"/>
                <w:sz w:val="22"/>
                <w:szCs w:val="22"/>
              </w:rPr>
              <w:t xml:space="preserve">Rats: </w:t>
            </w:r>
          </w:p>
          <w:p w14:paraId="1F3033D8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42B52">
              <w:rPr>
                <w:rFonts w:ascii="Calibri" w:hAnsi="Calibri" w:cs="Calibri"/>
                <w:sz w:val="22"/>
                <w:szCs w:val="22"/>
              </w:rPr>
              <w:t>0.0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F42B52">
              <w:rPr>
                <w:rFonts w:ascii="Calibri" w:hAnsi="Calibri" w:cs="Calibri"/>
                <w:sz w:val="22"/>
                <w:szCs w:val="22"/>
              </w:rPr>
              <w:t>-0.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F42B52">
              <w:rPr>
                <w:rFonts w:ascii="Calibri" w:hAnsi="Calibri" w:cs="Calibri"/>
                <w:sz w:val="22"/>
                <w:szCs w:val="22"/>
              </w:rPr>
              <w:t>5mg/kg  q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F42B52">
              <w:rPr>
                <w:rFonts w:ascii="Calibri" w:hAnsi="Calibri" w:cs="Calibri"/>
                <w:sz w:val="22"/>
                <w:szCs w:val="22"/>
              </w:rPr>
              <w:t xml:space="preserve">-12hrs </w:t>
            </w:r>
            <w:r>
              <w:rPr>
                <w:rFonts w:ascii="Calibri" w:hAnsi="Calibri" w:cs="Calibri"/>
                <w:sz w:val="22"/>
                <w:szCs w:val="22"/>
              </w:rPr>
              <w:t>SC,IV</w:t>
            </w:r>
          </w:p>
          <w:p w14:paraId="1741A935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0.1-0.4mg/kg q8-12hrs PO</w:t>
            </w:r>
          </w:p>
          <w:p w14:paraId="4D051186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67E0F28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42B52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</w:p>
          <w:p w14:paraId="3D184454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42B52">
              <w:rPr>
                <w:rFonts w:ascii="Calibri" w:hAnsi="Calibri" w:cs="Calibri"/>
                <w:sz w:val="22"/>
                <w:szCs w:val="22"/>
              </w:rPr>
              <w:t>0.01-0.0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F42B52">
              <w:rPr>
                <w:rFonts w:ascii="Calibri" w:hAnsi="Calibri" w:cs="Calibri"/>
                <w:sz w:val="22"/>
                <w:szCs w:val="22"/>
              </w:rPr>
              <w:t>mg/kg q6-12hr</w:t>
            </w:r>
            <w:r>
              <w:rPr>
                <w:rFonts w:ascii="Calibri" w:hAnsi="Calibri" w:cs="Calibri"/>
                <w:sz w:val="22"/>
                <w:szCs w:val="22"/>
              </w:rPr>
              <w:t>s SC,IV,</w:t>
            </w:r>
            <w:r w:rsidRPr="00F42B52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</w:p>
          <w:p w14:paraId="67021957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0.02-0.1mg/kg</w:t>
            </w:r>
            <w:r w:rsidRPr="00F42B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SC,IV,IM</w:t>
            </w:r>
          </w:p>
          <w:p w14:paraId="5692FBBE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0.012 mg/kg epidural</w:t>
            </w:r>
          </w:p>
        </w:tc>
        <w:tc>
          <w:tcPr>
            <w:tcW w:w="4820" w:type="dxa"/>
          </w:tcPr>
          <w:p w14:paraId="5FD07965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42B52">
              <w:rPr>
                <w:rFonts w:ascii="Calibri" w:hAnsi="Calibri" w:cs="Calibri"/>
                <w:sz w:val="22"/>
                <w:szCs w:val="22"/>
              </w:rPr>
              <w:t>Mice:  100ul</w:t>
            </w:r>
          </w:p>
          <w:p w14:paraId="5BCDFB92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838EEC1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B2C0602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42B52">
              <w:rPr>
                <w:rFonts w:ascii="Calibri" w:hAnsi="Calibri" w:cs="Calibri"/>
                <w:sz w:val="22"/>
                <w:szCs w:val="22"/>
              </w:rPr>
              <w:t>Rats:  300ul</w:t>
            </w:r>
          </w:p>
          <w:p w14:paraId="32EF2E6E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CD4F22D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05B7560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FB2B339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42B52">
              <w:rPr>
                <w:rFonts w:ascii="Calibri" w:hAnsi="Calibri" w:cs="Calibri"/>
                <w:sz w:val="22"/>
                <w:szCs w:val="22"/>
              </w:rPr>
              <w:t xml:space="preserve">Rabbits:  500ul </w:t>
            </w:r>
          </w:p>
          <w:p w14:paraId="45927942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F42B3DE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CFB0BC9" w14:textId="77777777" w:rsidR="00DB41A9" w:rsidRPr="00F42B52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epidural volume should not exceed 0.33ml/kg</w:t>
            </w:r>
          </w:p>
        </w:tc>
      </w:tr>
      <w:tr w:rsidR="00DB41A9" w:rsidRPr="00FA1DF1" w14:paraId="674527C2" w14:textId="77777777" w:rsidTr="00E2165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A9D6485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Sustained Release Buprenorphine</w:t>
            </w:r>
          </w:p>
          <w:p w14:paraId="3326297E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  <w:p w14:paraId="5A12A52F" w14:textId="77777777" w:rsidR="00DB41A9" w:rsidRPr="00E8412E" w:rsidRDefault="007F4386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 w:rsidRPr="00F335BE">
              <w:rPr>
                <w:rFonts w:ascii="Calibri" w:eastAsia="Times New Roman" w:hAnsi="Calibri" w:cs="Calibri"/>
                <w:bCs w:val="0"/>
                <w:color w:val="FF0000"/>
                <w:sz w:val="22"/>
                <w:szCs w:val="22"/>
              </w:rPr>
              <w:t>C</w:t>
            </w:r>
            <w:r w:rsidRPr="00F335BE"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 xml:space="preserve"> </w:t>
            </w:r>
            <w:r w:rsidR="00DB41A9"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*Not available through Health Canada – only available through veterinarian*</w:t>
            </w:r>
          </w:p>
        </w:tc>
        <w:tc>
          <w:tcPr>
            <w:tcW w:w="5245" w:type="dxa"/>
          </w:tcPr>
          <w:p w14:paraId="1857D0D2" w14:textId="77777777" w:rsidR="00DB41A9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Mice:</w:t>
            </w:r>
          </w:p>
          <w:p w14:paraId="7BF2CC78" w14:textId="77777777" w:rsidR="00DB41A9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0.6 – 2.2mg/kg q24-72hrs SC</w:t>
            </w:r>
          </w:p>
          <w:p w14:paraId="2C9B2309" w14:textId="77777777" w:rsidR="00DB41A9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69BEB75" w14:textId="77777777" w:rsidR="00DB41A9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Rats:</w:t>
            </w:r>
          </w:p>
          <w:p w14:paraId="36A4C384" w14:textId="77777777" w:rsidR="00DB41A9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0.3-1.2mg/kg q48-96hrs SC</w:t>
            </w:r>
          </w:p>
          <w:p w14:paraId="69ED7AE3" w14:textId="77777777" w:rsidR="00DB41A9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69051CC" w14:textId="77777777" w:rsidR="00DB41A9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Rabbits:</w:t>
            </w:r>
          </w:p>
          <w:p w14:paraId="799ED832" w14:textId="77777777" w:rsidR="00DB41A9" w:rsidRPr="00FA1DF1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0.12mg/kg SC</w:t>
            </w:r>
          </w:p>
        </w:tc>
        <w:tc>
          <w:tcPr>
            <w:tcW w:w="4820" w:type="dxa"/>
          </w:tcPr>
          <w:p w14:paraId="5DD8F53E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FA1DF1" w14:paraId="318B1C86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3132E51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 w:rsidRPr="00E8412E"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Butorphanol</w:t>
            </w:r>
          </w:p>
          <w:p w14:paraId="71E4C864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(“</w:t>
            </w:r>
            <w:proofErr w:type="spellStart"/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Torbugesic</w:t>
            </w:r>
            <w:proofErr w:type="spellEnd"/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”)</w:t>
            </w:r>
          </w:p>
          <w:p w14:paraId="70E8A4E7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  <w:p w14:paraId="280B266F" w14:textId="77777777" w:rsidR="00DB41A9" w:rsidRPr="00F335BE" w:rsidRDefault="007F4386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 w:rsidRPr="00F335BE">
              <w:rPr>
                <w:rFonts w:ascii="Calibri" w:eastAsia="Times New Roman" w:hAnsi="Calibri" w:cs="Calibri"/>
                <w:bCs w:val="0"/>
                <w:color w:val="FF0000"/>
                <w:sz w:val="22"/>
                <w:szCs w:val="22"/>
              </w:rPr>
              <w:t>C</w:t>
            </w:r>
            <w:r w:rsidRPr="00F335BE"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4ECE352F" w14:textId="77777777" w:rsidR="00DB41A9" w:rsidRPr="00FA1DF1" w:rsidRDefault="00DB41A9" w:rsidP="00FA1DF1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Mice/Rats: </w:t>
            </w:r>
          </w:p>
          <w:p w14:paraId="57DB2324" w14:textId="77777777" w:rsidR="00DB41A9" w:rsidRPr="00FA1DF1" w:rsidRDefault="00DB41A9" w:rsidP="00FA1DF1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0.2-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q2-4hrs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SC</w:t>
            </w:r>
          </w:p>
          <w:p w14:paraId="0CDFF878" w14:textId="77777777" w:rsidR="00DB41A9" w:rsidRPr="00FA1DF1" w:rsidRDefault="00DB41A9" w:rsidP="00FA1DF1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74BC5A6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Rabbits:  </w:t>
            </w:r>
          </w:p>
          <w:p w14:paraId="00EA31AC" w14:textId="77777777" w:rsidR="00DB41A9" w:rsidRPr="00FA1DF1" w:rsidRDefault="00DB41A9" w:rsidP="003421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0.1–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-6hrs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SC, IM, IV</w:t>
            </w:r>
          </w:p>
        </w:tc>
        <w:tc>
          <w:tcPr>
            <w:tcW w:w="4820" w:type="dxa"/>
          </w:tcPr>
          <w:p w14:paraId="33804816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Mice/Rats:  100ul</w:t>
            </w:r>
          </w:p>
          <w:p w14:paraId="5B5A3B19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F9A21E3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712BD8F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Rabbits:  500ul</w:t>
            </w:r>
          </w:p>
          <w:p w14:paraId="34FEE45A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D9FA34" w14:textId="77777777" w:rsidR="00F335BE" w:rsidRDefault="00F335BE">
      <w:r>
        <w:rPr>
          <w:b/>
          <w:bCs/>
        </w:rPr>
        <w:br w:type="page"/>
      </w:r>
    </w:p>
    <w:tbl>
      <w:tblPr>
        <w:tblStyle w:val="PlainTable1"/>
        <w:tblW w:w="12616" w:type="dxa"/>
        <w:tblLook w:val="04A0" w:firstRow="1" w:lastRow="0" w:firstColumn="1" w:lastColumn="0" w:noHBand="0" w:noVBand="1"/>
      </w:tblPr>
      <w:tblGrid>
        <w:gridCol w:w="2551"/>
        <w:gridCol w:w="5245"/>
        <w:gridCol w:w="4820"/>
      </w:tblGrid>
      <w:tr w:rsidR="00DB41A9" w:rsidRPr="00FA1DF1" w14:paraId="72C1D5FC" w14:textId="77777777" w:rsidTr="00E2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0D213A0" w14:textId="0524C659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 w:rsidRPr="00E8412E">
              <w:rPr>
                <w:rFonts w:ascii="Calibri" w:eastAsia="Times New Roman" w:hAnsi="Calibri" w:cs="Calibri"/>
                <w:bCs w:val="0"/>
                <w:sz w:val="22"/>
                <w:szCs w:val="22"/>
              </w:rPr>
              <w:lastRenderedPageBreak/>
              <w:t>Lidocaine</w:t>
            </w:r>
          </w:p>
          <w:p w14:paraId="5647BDE3" w14:textId="77777777" w:rsidR="00DB41A9" w:rsidRDefault="00DB41A9" w:rsidP="00AD77AC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(2% injectable)</w:t>
            </w:r>
          </w:p>
          <w:p w14:paraId="194C825C" w14:textId="77777777" w:rsidR="00DB41A9" w:rsidRDefault="00DB41A9" w:rsidP="00AD77AC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  <w:p w14:paraId="2731D58C" w14:textId="77777777" w:rsidR="00DB41A9" w:rsidRPr="00E8412E" w:rsidRDefault="00DB41A9" w:rsidP="00AD77AC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Lidocaine (2% injectable) cont’d</w:t>
            </w:r>
          </w:p>
        </w:tc>
        <w:tc>
          <w:tcPr>
            <w:tcW w:w="5245" w:type="dxa"/>
          </w:tcPr>
          <w:p w14:paraId="3DDA1255" w14:textId="232A5004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335BE">
              <w:rPr>
                <w:rFonts w:ascii="Calibri" w:hAnsi="Calibri" w:cs="Calibri"/>
                <w:b w:val="0"/>
                <w:sz w:val="22"/>
                <w:szCs w:val="22"/>
              </w:rPr>
              <w:t>Mice/Rats</w:t>
            </w:r>
            <w:r w:rsidR="00F335BE" w:rsidRPr="00F335BE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  <w:p w14:paraId="71FE22BD" w14:textId="77777777" w:rsidR="00DB41A9" w:rsidRPr="00F335BE" w:rsidRDefault="00DB41A9" w:rsidP="00435E5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335BE">
              <w:rPr>
                <w:rFonts w:ascii="Calibri" w:hAnsi="Calibri" w:cs="Calibri"/>
                <w:b w:val="0"/>
                <w:sz w:val="22"/>
                <w:szCs w:val="22"/>
              </w:rPr>
              <w:t>1mg/kg  SC PRN</w:t>
            </w:r>
          </w:p>
          <w:p w14:paraId="3D87A106" w14:textId="77777777" w:rsidR="00DB41A9" w:rsidRPr="00F335BE" w:rsidRDefault="00DB41A9" w:rsidP="00435E5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7394078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335BE">
              <w:rPr>
                <w:rFonts w:ascii="Calibri" w:hAnsi="Calibri" w:cs="Calibri"/>
                <w:b w:val="0"/>
                <w:sz w:val="22"/>
                <w:szCs w:val="22"/>
              </w:rPr>
              <w:t>Rabbits:</w:t>
            </w:r>
          </w:p>
          <w:p w14:paraId="0A6AF48B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335BE">
              <w:rPr>
                <w:rFonts w:ascii="Calibri" w:hAnsi="Calibri" w:cs="Calibri"/>
                <w:b w:val="0"/>
                <w:sz w:val="22"/>
                <w:szCs w:val="22"/>
              </w:rPr>
              <w:t>1-3 mg/kg SC</w:t>
            </w:r>
          </w:p>
          <w:p w14:paraId="44342DC5" w14:textId="77777777" w:rsidR="00DB41A9" w:rsidRPr="00F335BE" w:rsidRDefault="00DB41A9" w:rsidP="00435E5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0CCBE07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335BE">
              <w:rPr>
                <w:rFonts w:ascii="Calibri" w:hAnsi="Calibri" w:cs="Calibri"/>
                <w:b w:val="0"/>
                <w:sz w:val="22"/>
                <w:szCs w:val="22"/>
              </w:rPr>
              <w:t xml:space="preserve">Mice:  200ul  </w:t>
            </w:r>
          </w:p>
          <w:p w14:paraId="69A2D5C0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6EF2455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3F5194D7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335BE">
              <w:rPr>
                <w:rFonts w:ascii="Calibri" w:hAnsi="Calibri" w:cs="Calibri"/>
                <w:b w:val="0"/>
                <w:sz w:val="22"/>
                <w:szCs w:val="22"/>
              </w:rPr>
              <w:t xml:space="preserve">Rats/Rabbits:  </w:t>
            </w:r>
          </w:p>
          <w:p w14:paraId="37C7CC48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335BE">
              <w:rPr>
                <w:rFonts w:ascii="Calibri" w:hAnsi="Calibri" w:cs="Calibri"/>
                <w:b w:val="0"/>
                <w:sz w:val="22"/>
                <w:szCs w:val="22"/>
              </w:rPr>
              <w:t xml:space="preserve">0.5-3ml </w:t>
            </w:r>
          </w:p>
          <w:p w14:paraId="06F4A746" w14:textId="77777777" w:rsidR="00DB41A9" w:rsidRPr="00F335BE" w:rsidRDefault="00DB41A9" w:rsidP="00DD57B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DB41A9" w:rsidRPr="00FA1DF1" w14:paraId="60712BC6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13B0F2C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 xml:space="preserve">Bupivacaine (0.5%)     </w:t>
            </w:r>
          </w:p>
          <w:p w14:paraId="21C1D0BF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(local anesthetic infusion)</w:t>
            </w:r>
          </w:p>
          <w:p w14:paraId="2371E6FC" w14:textId="77777777" w:rsidR="00DB41A9" w:rsidRPr="00E8412E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3B722D8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Rats: </w:t>
            </w:r>
          </w:p>
          <w:p w14:paraId="03C09562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1-2mg/kg Local</w:t>
            </w:r>
          </w:p>
          <w:p w14:paraId="0E2F8D12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1.6 mg/kg epidural </w:t>
            </w:r>
          </w:p>
          <w:p w14:paraId="5143B56B" w14:textId="77777777" w:rsidR="00DB41A9" w:rsidRDefault="00DB41A9" w:rsidP="00AF75D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2.3 mg/kg epidural</w:t>
            </w:r>
          </w:p>
          <w:p w14:paraId="2D93A775" w14:textId="77777777" w:rsidR="00DB41A9" w:rsidRDefault="00DB41A9" w:rsidP="00AF75D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48C0853" w14:textId="77777777" w:rsidR="00DB41A9" w:rsidRPr="00FA1DF1" w:rsidRDefault="00DB41A9" w:rsidP="00AF75D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Rabbits: 1-2 mg/kg Local or epidural</w:t>
            </w:r>
          </w:p>
        </w:tc>
        <w:tc>
          <w:tcPr>
            <w:tcW w:w="4820" w:type="dxa"/>
          </w:tcPr>
          <w:p w14:paraId="5B28234E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0.33ml/kg</w:t>
            </w:r>
          </w:p>
          <w:p w14:paraId="2DDF484B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9E540BB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AF13DD2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3DD6CBE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0A18B7D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0.33 ml/kg </w:t>
            </w:r>
          </w:p>
        </w:tc>
      </w:tr>
      <w:tr w:rsidR="00DB41A9" w:rsidRPr="00FA1DF1" w14:paraId="36F47A14" w14:textId="77777777" w:rsidTr="00E2165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0A94450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 w:rsidRPr="00E8412E"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Meloxicam</w:t>
            </w:r>
          </w:p>
          <w:p w14:paraId="28AE94CB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(“Metacam”)</w:t>
            </w:r>
          </w:p>
          <w:p w14:paraId="4C8F0098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  <w:p w14:paraId="2516A0AF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  <w:p w14:paraId="701F2EC4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  <w:p w14:paraId="77520332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  <w:p w14:paraId="205187E2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  <w:p w14:paraId="72D6A02C" w14:textId="77777777" w:rsidR="00DB41A9" w:rsidRPr="00E8412E" w:rsidRDefault="00DB41A9" w:rsidP="00A637DE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ECBA53B" w14:textId="77777777" w:rsidR="00DB41A9" w:rsidRPr="00FA1DF1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Mice:</w:t>
            </w:r>
          </w:p>
          <w:p w14:paraId="558E9BFA" w14:textId="77777777" w:rsidR="00DB41A9" w:rsidRPr="00FA1DF1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1-5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q24hrs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PO, SC</w:t>
            </w:r>
          </w:p>
          <w:p w14:paraId="5B02B3F7" w14:textId="77777777" w:rsidR="00DB41A9" w:rsidRPr="00FA1DF1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1BEE506" w14:textId="77777777" w:rsidR="00DB41A9" w:rsidRPr="00FA1DF1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Rats: </w:t>
            </w:r>
          </w:p>
          <w:p w14:paraId="6364C5EF" w14:textId="77777777" w:rsidR="00DB41A9" w:rsidRPr="00FA1DF1" w:rsidRDefault="00DB41A9" w:rsidP="00FA1DF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1-2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</w:t>
            </w:r>
            <w:r>
              <w:rPr>
                <w:rFonts w:ascii="Calibri" w:hAnsi="Calibri" w:cs="Calibri"/>
                <w:sz w:val="22"/>
                <w:szCs w:val="22"/>
              </w:rPr>
              <w:t>12-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24hrs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PO, SC</w:t>
            </w:r>
          </w:p>
          <w:p w14:paraId="2C0A48DA" w14:textId="77777777" w:rsidR="00DB41A9" w:rsidRPr="00FA1DF1" w:rsidRDefault="00DB41A9" w:rsidP="00FA1DF1">
            <w:pPr>
              <w:pStyle w:val="Comment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199A3AC" w14:textId="77777777" w:rsidR="00DB41A9" w:rsidRPr="00FA1DF1" w:rsidRDefault="00DB41A9" w:rsidP="00FA1DF1">
            <w:pPr>
              <w:pStyle w:val="Comment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Rabbits:  </w:t>
            </w:r>
          </w:p>
          <w:p w14:paraId="1E28B41C" w14:textId="77777777" w:rsidR="00DB41A9" w:rsidRPr="00FA1DF1" w:rsidRDefault="00DB41A9" w:rsidP="00FA1DF1">
            <w:pPr>
              <w:pStyle w:val="Comment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0.2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-0.5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q24hrs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SC, IM</w:t>
            </w:r>
          </w:p>
          <w:p w14:paraId="1A92599C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0.3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1.5 mg/kg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 q24hrs x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days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</w:t>
            </w:r>
          </w:p>
          <w:p w14:paraId="7B847B6D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48008EC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Mice: 100ul</w:t>
            </w:r>
          </w:p>
          <w:p w14:paraId="5EE3172E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8FD2A8F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3568A8A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Rats: 500ul</w:t>
            </w:r>
          </w:p>
          <w:p w14:paraId="1A0D9AC4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6F70163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CFCDE93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Rabbits: 1ml</w:t>
            </w:r>
          </w:p>
          <w:p w14:paraId="2BF37C4E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FA1DF1" w14:paraId="5FB24802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BFC1E84" w14:textId="77777777" w:rsidR="00DB41A9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Proparacaine 0.5%</w:t>
            </w:r>
          </w:p>
          <w:p w14:paraId="722B9234" w14:textId="77777777" w:rsidR="00DB41A9" w:rsidRPr="00E8412E" w:rsidRDefault="00DB41A9" w:rsidP="00FA1DF1">
            <w:pPr>
              <w:spacing w:after="0"/>
              <w:rPr>
                <w:rFonts w:ascii="Calibri" w:eastAsia="Times New Roman" w:hAnsi="Calibri" w:cs="Calibri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(“</w:t>
            </w:r>
            <w:proofErr w:type="spellStart"/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Alcaine</w:t>
            </w:r>
            <w:proofErr w:type="spellEnd"/>
            <w:r>
              <w:rPr>
                <w:rFonts w:ascii="Calibri" w:eastAsia="Times New Roman" w:hAnsi="Calibri" w:cs="Calibri"/>
                <w:bCs w:val="0"/>
                <w:sz w:val="22"/>
                <w:szCs w:val="22"/>
              </w:rPr>
              <w:t>”)</w:t>
            </w:r>
          </w:p>
        </w:tc>
        <w:tc>
          <w:tcPr>
            <w:tcW w:w="5245" w:type="dxa"/>
          </w:tcPr>
          <w:p w14:paraId="0C94D672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Mice:</w:t>
            </w:r>
          </w:p>
          <w:p w14:paraId="44F38923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0.01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ml each eye </w:t>
            </w:r>
          </w:p>
          <w:p w14:paraId="4DE0E69F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7FC329C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Rats/Rabbits:</w:t>
            </w:r>
          </w:p>
          <w:p w14:paraId="312E6423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1 drop each eye </w:t>
            </w:r>
          </w:p>
        </w:tc>
        <w:tc>
          <w:tcPr>
            <w:tcW w:w="4820" w:type="dxa"/>
          </w:tcPr>
          <w:p w14:paraId="5BC467E8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Mice: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30ul each eye </w:t>
            </w:r>
          </w:p>
          <w:p w14:paraId="18D31D47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616F924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A60DDCD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Rats/Rabbits:  </w:t>
            </w:r>
          </w:p>
          <w:p w14:paraId="2129E7E7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1 drops each eye </w:t>
            </w:r>
          </w:p>
        </w:tc>
      </w:tr>
    </w:tbl>
    <w:p w14:paraId="55814C51" w14:textId="77777777" w:rsidR="00EA28BB" w:rsidRDefault="00EA28BB"/>
    <w:p w14:paraId="022A2E0E" w14:textId="77777777" w:rsidR="00F335BE" w:rsidRDefault="00F335BE">
      <w:r>
        <w:rPr>
          <w:b/>
          <w:bCs/>
        </w:rPr>
        <w:br w:type="page"/>
      </w:r>
    </w:p>
    <w:tbl>
      <w:tblPr>
        <w:tblStyle w:val="PlainTable1"/>
        <w:tblW w:w="12616" w:type="dxa"/>
        <w:tblLook w:val="04A0" w:firstRow="1" w:lastRow="0" w:firstColumn="1" w:lastColumn="0" w:noHBand="0" w:noVBand="1"/>
      </w:tblPr>
      <w:tblGrid>
        <w:gridCol w:w="2551"/>
        <w:gridCol w:w="5245"/>
        <w:gridCol w:w="4820"/>
      </w:tblGrid>
      <w:tr w:rsidR="00DB41A9" w:rsidRPr="00F335BE" w14:paraId="375C15CB" w14:textId="77777777" w:rsidTr="00F33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BDD6EE" w:themeFill="accent5" w:themeFillTint="66"/>
          </w:tcPr>
          <w:p w14:paraId="5C59A63A" w14:textId="3B608DBC" w:rsidR="00DB41A9" w:rsidRPr="00F335B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</w:rPr>
            </w:pPr>
            <w:r w:rsidRPr="00F335BE">
              <w:rPr>
                <w:rFonts w:ascii="Calibri" w:eastAsia="MS Gothic" w:hAnsi="Calibri" w:cs="Calibri"/>
                <w:bCs w:val="0"/>
              </w:rPr>
              <w:lastRenderedPageBreak/>
              <w:t>Antibiotics/</w:t>
            </w:r>
          </w:p>
          <w:p w14:paraId="764AE100" w14:textId="77777777" w:rsidR="00DB41A9" w:rsidRPr="00F335B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</w:rPr>
            </w:pPr>
            <w:r w:rsidRPr="00F335BE">
              <w:rPr>
                <w:rFonts w:ascii="Calibri" w:eastAsia="MS Gothic" w:hAnsi="Calibri" w:cs="Calibri"/>
                <w:bCs w:val="0"/>
              </w:rPr>
              <w:t>Antimycotics</w:t>
            </w:r>
          </w:p>
        </w:tc>
        <w:tc>
          <w:tcPr>
            <w:tcW w:w="5245" w:type="dxa"/>
            <w:shd w:val="clear" w:color="auto" w:fill="BDD6EE" w:themeFill="accent5" w:themeFillTint="66"/>
          </w:tcPr>
          <w:p w14:paraId="31A6A65A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35BE">
              <w:rPr>
                <w:rFonts w:ascii="Calibri" w:hAnsi="Calibri" w:cs="Calibri"/>
              </w:rPr>
              <w:t>Dosage/Frequency/Duration</w:t>
            </w:r>
          </w:p>
        </w:tc>
        <w:tc>
          <w:tcPr>
            <w:tcW w:w="4820" w:type="dxa"/>
            <w:shd w:val="clear" w:color="auto" w:fill="BDD6EE" w:themeFill="accent5" w:themeFillTint="66"/>
          </w:tcPr>
          <w:p w14:paraId="61488D28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35BE">
              <w:rPr>
                <w:rFonts w:ascii="Calibri" w:hAnsi="Calibri" w:cs="Calibri"/>
              </w:rPr>
              <w:t>Max Volume/A/S</w:t>
            </w:r>
          </w:p>
        </w:tc>
      </w:tr>
      <w:tr w:rsidR="00DB41A9" w:rsidRPr="00FA1DF1" w14:paraId="1B28C770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2BCD38D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sz w:val="22"/>
                <w:szCs w:val="22"/>
              </w:rPr>
              <w:t>Ampicillin</w:t>
            </w:r>
          </w:p>
        </w:tc>
        <w:tc>
          <w:tcPr>
            <w:tcW w:w="5245" w:type="dxa"/>
          </w:tcPr>
          <w:p w14:paraId="010CBB04" w14:textId="77777777" w:rsidR="00DB41A9" w:rsidRDefault="00DB41A9" w:rsidP="009472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Mice: </w:t>
            </w:r>
          </w:p>
          <w:p w14:paraId="606F466B" w14:textId="77777777" w:rsidR="00DB41A9" w:rsidRDefault="00DB41A9" w:rsidP="009472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50-200 mg/kg q12hrs PO</w:t>
            </w:r>
          </w:p>
          <w:p w14:paraId="27ED5908" w14:textId="77777777" w:rsidR="00DB41A9" w:rsidRDefault="00DB41A9" w:rsidP="009472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mg/kg q12hrs SC, IM</w:t>
            </w:r>
          </w:p>
          <w:p w14:paraId="577D44E6" w14:textId="77777777" w:rsidR="00DB41A9" w:rsidRDefault="00DB41A9" w:rsidP="009472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BC8FFD8" w14:textId="77777777" w:rsidR="00DB41A9" w:rsidRDefault="00DB41A9" w:rsidP="009472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90C0EEE" w14:textId="77777777" w:rsidR="00DB41A9" w:rsidRDefault="00DB41A9" w:rsidP="009472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F4386">
              <w:rPr>
                <w:rFonts w:ascii="Calibri" w:hAnsi="Calibri" w:cs="Calibri"/>
                <w:sz w:val="22"/>
                <w:szCs w:val="22"/>
              </w:rPr>
              <w:t>Rats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F438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EA5BE45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20-</w:t>
            </w: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</w:t>
            </w:r>
            <w:r>
              <w:rPr>
                <w:rFonts w:ascii="Calibri" w:hAnsi="Calibri" w:cs="Calibri"/>
                <w:sz w:val="22"/>
                <w:szCs w:val="22"/>
              </w:rPr>
              <w:t>12hrs PO</w:t>
            </w:r>
          </w:p>
          <w:p w14:paraId="07810F92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mg/kg q12hrs SC, IM</w:t>
            </w:r>
          </w:p>
          <w:p w14:paraId="7D3F17D9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882C86E" w14:textId="77777777" w:rsidR="00DB41A9" w:rsidRPr="00FA1DF1" w:rsidRDefault="00DB41A9" w:rsidP="00DD57B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C5013AE" w14:textId="77777777" w:rsidR="00DB41A9" w:rsidRPr="00FA1DF1" w:rsidRDefault="00DB41A9" w:rsidP="009472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Mice:  150ul/dose</w:t>
            </w:r>
          </w:p>
          <w:p w14:paraId="370FCD75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449D3C6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F4E3DB4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7A1F617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B6A7FB5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Rats:   200ul/dose </w:t>
            </w:r>
          </w:p>
          <w:p w14:paraId="6FB23B29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3949034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56CDB8F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C2FA710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FA1DF1" w14:paraId="01F7EE89" w14:textId="77777777" w:rsidTr="00E2165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677D720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sz w:val="22"/>
                <w:szCs w:val="22"/>
              </w:rPr>
              <w:t>Enrofloxacin</w:t>
            </w:r>
          </w:p>
          <w:p w14:paraId="3E84AC62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sz w:val="22"/>
                <w:szCs w:val="22"/>
              </w:rPr>
              <w:t>(“</w:t>
            </w:r>
            <w:proofErr w:type="spellStart"/>
            <w:r w:rsidRPr="00E8412E">
              <w:rPr>
                <w:rFonts w:ascii="Calibri" w:eastAsia="MS Gothic" w:hAnsi="Calibri" w:cs="Calibri"/>
                <w:bCs w:val="0"/>
                <w:sz w:val="22"/>
                <w:szCs w:val="22"/>
              </w:rPr>
              <w:t>Baytril</w:t>
            </w:r>
            <w:proofErr w:type="spellEnd"/>
            <w:r w:rsidRPr="00E8412E">
              <w:rPr>
                <w:rFonts w:ascii="Calibri" w:eastAsia="MS Gothic" w:hAnsi="Calibri" w:cs="Calibri"/>
                <w:bCs w:val="0"/>
                <w:sz w:val="22"/>
                <w:szCs w:val="22"/>
              </w:rPr>
              <w:t>”)</w:t>
            </w:r>
          </w:p>
          <w:p w14:paraId="02D60991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sz w:val="22"/>
                <w:szCs w:val="22"/>
              </w:rPr>
            </w:pPr>
          </w:p>
          <w:p w14:paraId="6839AA9C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sz w:val="22"/>
                <w:szCs w:val="22"/>
              </w:rPr>
            </w:pPr>
          </w:p>
          <w:p w14:paraId="0752FF97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623F0F7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Rats:  </w:t>
            </w:r>
          </w:p>
          <w:p w14:paraId="7BDFF48A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5-20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q12</w:t>
            </w:r>
            <w:r>
              <w:rPr>
                <w:rFonts w:ascii="Calibri" w:hAnsi="Calibri" w:cs="Calibri"/>
                <w:sz w:val="22"/>
                <w:szCs w:val="22"/>
              </w:rPr>
              <w:t>-24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rs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 up to 14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days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PO, SC, IM</w:t>
            </w:r>
          </w:p>
          <w:p w14:paraId="59B556E8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CD3D707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0.25 mg/ml x 14 days in drinking water</w:t>
            </w:r>
          </w:p>
          <w:p w14:paraId="05ECEBBB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D1C23A5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</w:p>
          <w:p w14:paraId="6B90726A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q12-24hrs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PO, IV, IM, SC</w:t>
            </w:r>
          </w:p>
          <w:p w14:paraId="1F8247EB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5-20 mg/kg q12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PO, IM</w:t>
            </w:r>
          </w:p>
          <w:p w14:paraId="640DBC24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DF78CA3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 mg/L x 14 days in drinking water</w:t>
            </w:r>
          </w:p>
        </w:tc>
        <w:tc>
          <w:tcPr>
            <w:tcW w:w="4820" w:type="dxa"/>
          </w:tcPr>
          <w:p w14:paraId="1CDB4812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Mice:  100ul/dose</w:t>
            </w:r>
          </w:p>
          <w:p w14:paraId="2368A1F3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Rats:  300ul/dose</w:t>
            </w:r>
          </w:p>
          <w:p w14:paraId="00199EBA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1EB08EE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0C2779D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  <w:p w14:paraId="1F73B1E8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47CCC07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Rabbits:  500ul/dose</w:t>
            </w:r>
          </w:p>
          <w:p w14:paraId="32ABEB9B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87A6298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A25070E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98C99DF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DB41A9" w:rsidRPr="00FA1DF1" w14:paraId="309AD568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F86AE2D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Gentamicin Sulfate</w:t>
            </w:r>
          </w:p>
          <w:p w14:paraId="0CD4B4DE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(“</w:t>
            </w:r>
            <w:proofErr w:type="spellStart"/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Gentocin</w:t>
            </w:r>
            <w:proofErr w:type="spellEnd"/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”)</w:t>
            </w:r>
          </w:p>
        </w:tc>
        <w:tc>
          <w:tcPr>
            <w:tcW w:w="5245" w:type="dxa"/>
          </w:tcPr>
          <w:p w14:paraId="572B5BD3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Mice: </w:t>
            </w:r>
          </w:p>
          <w:p w14:paraId="356E89D1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– 24 mg/kg q12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-24hrs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SC, IM</w:t>
            </w:r>
          </w:p>
          <w:p w14:paraId="6CA9DA6F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B2DC76A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Rats:</w:t>
            </w:r>
          </w:p>
          <w:p w14:paraId="36480759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mg/kg q24hrs SC</w:t>
            </w:r>
          </w:p>
          <w:p w14:paraId="044EB302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A3606C0" w14:textId="77777777" w:rsidR="00DB41A9" w:rsidRDefault="00DB41A9" w:rsidP="00786DD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</w:p>
          <w:p w14:paraId="65ADE856" w14:textId="77777777" w:rsidR="00DB41A9" w:rsidRPr="00FA1DF1" w:rsidRDefault="00DB41A9" w:rsidP="00786DD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5-8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</w:t>
            </w:r>
            <w:r>
              <w:rPr>
                <w:rFonts w:ascii="Calibri" w:hAnsi="Calibri" w:cs="Calibri"/>
                <w:sz w:val="22"/>
                <w:szCs w:val="22"/>
              </w:rPr>
              <w:t>8-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24hrs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SC, IM, IV</w:t>
            </w:r>
          </w:p>
        </w:tc>
        <w:tc>
          <w:tcPr>
            <w:tcW w:w="4820" w:type="dxa"/>
          </w:tcPr>
          <w:p w14:paraId="5BB71D5B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Mice:  150ul/dose</w:t>
            </w:r>
          </w:p>
          <w:p w14:paraId="1AEE1E67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C110FF0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59D3EB4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Rats:  200ul/dose</w:t>
            </w:r>
          </w:p>
          <w:p w14:paraId="2C7B7B66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839C336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B02A935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Rabbits:  1ml/dose</w:t>
            </w:r>
          </w:p>
          <w:p w14:paraId="3022581B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FA1DF1" w14:paraId="4B5CFC77" w14:textId="77777777" w:rsidTr="00E2165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EF9C934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Gentamicin/</w:t>
            </w:r>
          </w:p>
          <w:p w14:paraId="0FA8A23D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Betamethasone (“</w:t>
            </w:r>
            <w:proofErr w:type="spellStart"/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Topagen</w:t>
            </w:r>
            <w:proofErr w:type="spellEnd"/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” spray)</w:t>
            </w:r>
          </w:p>
        </w:tc>
        <w:tc>
          <w:tcPr>
            <w:tcW w:w="5245" w:type="dxa"/>
          </w:tcPr>
          <w:p w14:paraId="5364C98A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Mice/Rats/Rabbits:</w:t>
            </w:r>
          </w:p>
          <w:p w14:paraId="5C9482A1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 pump per site q12</w:t>
            </w:r>
            <w:r>
              <w:rPr>
                <w:rFonts w:ascii="Calibri" w:hAnsi="Calibri" w:cs="Calibri"/>
                <w:sz w:val="22"/>
                <w:szCs w:val="22"/>
              </w:rPr>
              <w:t>-24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hrs, 3-14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days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topical</w:t>
            </w:r>
          </w:p>
        </w:tc>
        <w:tc>
          <w:tcPr>
            <w:tcW w:w="4820" w:type="dxa"/>
          </w:tcPr>
          <w:p w14:paraId="48644FFA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2 pumps per site per day</w:t>
            </w:r>
          </w:p>
        </w:tc>
      </w:tr>
      <w:tr w:rsidR="00DB41A9" w:rsidRPr="00FA1DF1" w14:paraId="30AD5D72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94E487B" w14:textId="77777777" w:rsidR="00DB41A9" w:rsidRPr="00E8412E" w:rsidRDefault="00DB41A9" w:rsidP="007D6F7A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Fucidic</w:t>
            </w:r>
            <w:proofErr w:type="spellEnd"/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 xml:space="preserve"> acid (</w:t>
            </w:r>
            <w:proofErr w:type="spellStart"/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Isathal</w:t>
            </w:r>
            <w:proofErr w:type="spellEnd"/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ophthalmic</w:t>
            </w:r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 xml:space="preserve"> gel</w:t>
            </w:r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5B3F7C0F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Mice/Rats/Rabbits:</w:t>
            </w:r>
          </w:p>
          <w:p w14:paraId="2D874270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 drop/eye q12</w:t>
            </w:r>
            <w:r>
              <w:rPr>
                <w:rFonts w:ascii="Calibri" w:hAnsi="Calibri" w:cs="Calibri"/>
                <w:sz w:val="22"/>
                <w:szCs w:val="22"/>
              </w:rPr>
              <w:t>-24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hrs, 3-14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days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topical</w:t>
            </w:r>
          </w:p>
        </w:tc>
        <w:tc>
          <w:tcPr>
            <w:tcW w:w="4820" w:type="dxa"/>
          </w:tcPr>
          <w:p w14:paraId="390C873F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2 drops per eye per day</w:t>
            </w:r>
          </w:p>
        </w:tc>
      </w:tr>
    </w:tbl>
    <w:p w14:paraId="7652F18E" w14:textId="77777777" w:rsidR="00F335BE" w:rsidRDefault="00F335BE">
      <w:r>
        <w:rPr>
          <w:b/>
          <w:bCs/>
        </w:rPr>
        <w:br w:type="page"/>
      </w:r>
    </w:p>
    <w:tbl>
      <w:tblPr>
        <w:tblStyle w:val="PlainTable1"/>
        <w:tblW w:w="12616" w:type="dxa"/>
        <w:tblLook w:val="04A0" w:firstRow="1" w:lastRow="0" w:firstColumn="1" w:lastColumn="0" w:noHBand="0" w:noVBand="1"/>
      </w:tblPr>
      <w:tblGrid>
        <w:gridCol w:w="2551"/>
        <w:gridCol w:w="5245"/>
        <w:gridCol w:w="4820"/>
      </w:tblGrid>
      <w:tr w:rsidR="00DB41A9" w:rsidRPr="00FA1DF1" w14:paraId="77A94135" w14:textId="77777777" w:rsidTr="00E21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5E6A4ED" w14:textId="294C7C8D" w:rsidR="00DB41A9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lastRenderedPageBreak/>
              <w:t xml:space="preserve">Tobramycin .3% ophthalmic drops </w:t>
            </w:r>
          </w:p>
          <w:p w14:paraId="7C51C8A6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Tobrex</w:t>
            </w:r>
            <w:proofErr w:type="spellEnd"/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 xml:space="preserve">)    </w:t>
            </w:r>
          </w:p>
        </w:tc>
        <w:tc>
          <w:tcPr>
            <w:tcW w:w="5245" w:type="dxa"/>
          </w:tcPr>
          <w:p w14:paraId="688B7D1E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335BE">
              <w:rPr>
                <w:rFonts w:ascii="Calibri" w:hAnsi="Calibri" w:cs="Calibri"/>
                <w:b w:val="0"/>
                <w:sz w:val="22"/>
                <w:szCs w:val="22"/>
              </w:rPr>
              <w:t>Mice/Rats/Rabbits:</w:t>
            </w:r>
          </w:p>
          <w:p w14:paraId="4A4BC8A1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335BE">
              <w:rPr>
                <w:rFonts w:ascii="Calibri" w:hAnsi="Calibri" w:cs="Calibri"/>
                <w:b w:val="0"/>
                <w:sz w:val="22"/>
                <w:szCs w:val="22"/>
              </w:rPr>
              <w:t>1 drop/eye q6-24hrs, 3-14 days topical</w:t>
            </w:r>
          </w:p>
        </w:tc>
        <w:tc>
          <w:tcPr>
            <w:tcW w:w="4820" w:type="dxa"/>
          </w:tcPr>
          <w:p w14:paraId="585CB56F" w14:textId="77777777" w:rsidR="00DB41A9" w:rsidRPr="00F335BE" w:rsidRDefault="00DB41A9" w:rsidP="00FA1DF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335BE">
              <w:rPr>
                <w:rFonts w:ascii="Calibri" w:hAnsi="Calibri" w:cs="Calibri"/>
                <w:b w:val="0"/>
                <w:sz w:val="22"/>
                <w:szCs w:val="22"/>
              </w:rPr>
              <w:t>2 drops per eye per day</w:t>
            </w:r>
          </w:p>
        </w:tc>
      </w:tr>
      <w:tr w:rsidR="00DB41A9" w:rsidRPr="00FA1DF1" w14:paraId="701849A6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3377EF2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Ketoconazole</w:t>
            </w:r>
          </w:p>
        </w:tc>
        <w:tc>
          <w:tcPr>
            <w:tcW w:w="5245" w:type="dxa"/>
          </w:tcPr>
          <w:p w14:paraId="730DEAF2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Rats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Rabbits:</w:t>
            </w:r>
          </w:p>
          <w:p w14:paraId="77FB285E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10-40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mg/kg </w:t>
            </w:r>
            <w:r>
              <w:rPr>
                <w:rFonts w:ascii="Calibri" w:hAnsi="Calibri" w:cs="Calibri"/>
                <w:sz w:val="22"/>
                <w:szCs w:val="22"/>
              </w:rPr>
              <w:t>q24hrs x 14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 days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</w:t>
            </w:r>
          </w:p>
        </w:tc>
        <w:tc>
          <w:tcPr>
            <w:tcW w:w="4820" w:type="dxa"/>
          </w:tcPr>
          <w:p w14:paraId="7948920F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N/A </w:t>
            </w:r>
          </w:p>
        </w:tc>
      </w:tr>
      <w:tr w:rsidR="00DB41A9" w:rsidRPr="00FA1DF1" w14:paraId="68A73A04" w14:textId="77777777" w:rsidTr="00E21655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ECE5D6A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Miconazole/ Polymyxin/ Prednisolone (“SUROLAN”)</w:t>
            </w:r>
          </w:p>
        </w:tc>
        <w:tc>
          <w:tcPr>
            <w:tcW w:w="5245" w:type="dxa"/>
          </w:tcPr>
          <w:p w14:paraId="7DE28BF0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Rats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</w:p>
          <w:p w14:paraId="771F6DB2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1-3 drops per site q24hrs, 14-28 days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topical</w:t>
            </w:r>
          </w:p>
        </w:tc>
        <w:tc>
          <w:tcPr>
            <w:tcW w:w="4820" w:type="dxa"/>
          </w:tcPr>
          <w:p w14:paraId="0BC03B15" w14:textId="77777777" w:rsidR="00DB41A9" w:rsidRPr="002A306D" w:rsidRDefault="00DB41A9" w:rsidP="002A30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1-3 drops/dose/site</w:t>
            </w:r>
          </w:p>
        </w:tc>
      </w:tr>
      <w:tr w:rsidR="00DB41A9" w:rsidRPr="00FA1DF1" w14:paraId="41509B3F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7FCD615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  <w:proofErr w:type="spellStart"/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Polymyxin</w:t>
            </w:r>
            <w:proofErr w:type="spellEnd"/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 xml:space="preserve"> B/</w:t>
            </w:r>
            <w:r w:rsidRPr="00D61965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A5391B">
              <w:rPr>
                <w:rFonts w:ascii="Calibri" w:hAnsi="Calibri" w:cs="Arial"/>
                <w:color w:val="000000"/>
                <w:sz w:val="22"/>
                <w:szCs w:val="22"/>
              </w:rPr>
              <w:t>Gramicidin</w:t>
            </w:r>
          </w:p>
          <w:p w14:paraId="19ADC03E" w14:textId="3FF293CF" w:rsidR="00DB41A9" w:rsidRDefault="00DB41A9" w:rsidP="001264CB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Polysporin</w:t>
            </w:r>
            <w:proofErr w:type="spellEnd"/>
            <w:r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 xml:space="preserve"> cream</w:t>
            </w:r>
            <w:r w:rsidRPr="00E8412E"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  <w:t>”)</w:t>
            </w:r>
          </w:p>
          <w:p w14:paraId="39B4D17B" w14:textId="77777777" w:rsidR="00720479" w:rsidRDefault="00720479" w:rsidP="001264CB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</w:p>
          <w:p w14:paraId="68D5360C" w14:textId="77777777" w:rsidR="00720479" w:rsidRPr="00E8412E" w:rsidRDefault="00720479" w:rsidP="00720479">
            <w:pPr>
              <w:spacing w:after="0"/>
              <w:rPr>
                <w:rFonts w:ascii="Calibri" w:eastAsia="MS Gothic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0B028A2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Rats:  </w:t>
            </w:r>
          </w:p>
          <w:p w14:paraId="3113CEAE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FA1DF1">
              <w:rPr>
                <w:rFonts w:ascii="Calibri" w:hAnsi="Calibri" w:cs="Calibri"/>
                <w:sz w:val="22"/>
              </w:rPr>
              <w:t>1mm strip per 1cm lesion, q12</w:t>
            </w:r>
            <w:r>
              <w:rPr>
                <w:rFonts w:ascii="Calibri" w:hAnsi="Calibri" w:cs="Calibri"/>
                <w:sz w:val="22"/>
              </w:rPr>
              <w:t>-24</w:t>
            </w:r>
            <w:r w:rsidRPr="00FA1DF1">
              <w:rPr>
                <w:rFonts w:ascii="Calibri" w:hAnsi="Calibri" w:cs="Calibri"/>
                <w:sz w:val="22"/>
              </w:rPr>
              <w:t>hrs, 3 – 14 days</w:t>
            </w:r>
            <w:r>
              <w:rPr>
                <w:rFonts w:ascii="Calibri" w:hAnsi="Calibri" w:cs="Calibri"/>
                <w:sz w:val="22"/>
              </w:rPr>
              <w:t xml:space="preserve"> topical</w:t>
            </w:r>
          </w:p>
          <w:p w14:paraId="5FECBE8D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8572328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</w:p>
          <w:p w14:paraId="61EC79A4" w14:textId="77777777" w:rsidR="00DB41A9" w:rsidRPr="00FA1DF1" w:rsidRDefault="00DB41A9" w:rsidP="004A53E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1mm strip per 1cm lesion, 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-24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hrs, 3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 14 days</w:t>
            </w:r>
            <w:r>
              <w:rPr>
                <w:rFonts w:ascii="Calibri" w:hAnsi="Calibri" w:cs="Calibri"/>
                <w:sz w:val="22"/>
                <w:szCs w:val="22"/>
              </w:rPr>
              <w:t>, topical</w:t>
            </w:r>
          </w:p>
        </w:tc>
        <w:tc>
          <w:tcPr>
            <w:tcW w:w="4820" w:type="dxa"/>
          </w:tcPr>
          <w:p w14:paraId="72A865A7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2mm strip per 1cm lesion</w:t>
            </w:r>
          </w:p>
        </w:tc>
      </w:tr>
      <w:tr w:rsidR="00DB41A9" w:rsidRPr="00FA1DF1" w14:paraId="38F94DF9" w14:textId="77777777" w:rsidTr="00E2165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C60A929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sz w:val="22"/>
                <w:szCs w:val="22"/>
              </w:rPr>
              <w:t>Trimethoprim/</w:t>
            </w:r>
          </w:p>
          <w:p w14:paraId="33466B9A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sz w:val="22"/>
                <w:szCs w:val="22"/>
              </w:rPr>
            </w:pPr>
            <w:r w:rsidRPr="00E8412E">
              <w:rPr>
                <w:rFonts w:ascii="Calibri" w:eastAsia="MS Gothic" w:hAnsi="Calibri" w:cs="Calibri"/>
                <w:bCs w:val="0"/>
                <w:sz w:val="22"/>
                <w:szCs w:val="22"/>
              </w:rPr>
              <w:t>Sulfamethoxazole</w:t>
            </w:r>
          </w:p>
        </w:tc>
        <w:tc>
          <w:tcPr>
            <w:tcW w:w="5245" w:type="dxa"/>
          </w:tcPr>
          <w:p w14:paraId="2F9AC764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Mice: </w:t>
            </w:r>
          </w:p>
          <w:p w14:paraId="5FE01600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50-100 mg/kg q24hrs PO, SC</w:t>
            </w:r>
          </w:p>
          <w:p w14:paraId="32B8F390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C64B4EC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Rats: </w:t>
            </w:r>
          </w:p>
          <w:p w14:paraId="3E7DCB3A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15-30 mg/kg q12-24hrs PO, SC, IM</w:t>
            </w:r>
          </w:p>
          <w:p w14:paraId="7AEA55E5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0.8 mg/ml in drinking water</w:t>
            </w:r>
          </w:p>
          <w:p w14:paraId="0AEE2CA1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E32C878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Rabbits:</w:t>
            </w:r>
          </w:p>
          <w:p w14:paraId="2D419556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15-30 mg/kg PO q12-24hrs</w:t>
            </w:r>
          </w:p>
          <w:p w14:paraId="480AD3E4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30-48 mg/kg SC q12hrs</w:t>
            </w:r>
          </w:p>
        </w:tc>
        <w:tc>
          <w:tcPr>
            <w:tcW w:w="4820" w:type="dxa"/>
          </w:tcPr>
          <w:p w14:paraId="626FAEE3" w14:textId="77777777" w:rsidR="00DB41A9" w:rsidRPr="00FA1DF1" w:rsidRDefault="00DB41A9" w:rsidP="004053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Mice:  150ul/dose</w:t>
            </w:r>
          </w:p>
          <w:p w14:paraId="71952B3B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2A85E70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03BA6AA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Rats: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200ul/dose </w:t>
            </w:r>
          </w:p>
          <w:p w14:paraId="5B756F2C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336CA4B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7FB7AE3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5A60F8F" w14:textId="77777777" w:rsidR="00DB41A9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EAFCA85" w14:textId="77777777" w:rsidR="00DB41A9" w:rsidRPr="00FA1DF1" w:rsidRDefault="00DB41A9" w:rsidP="00FA1DF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Rabbits: 500ul/dose</w:t>
            </w:r>
          </w:p>
        </w:tc>
      </w:tr>
      <w:tr w:rsidR="00DB41A9" w:rsidRPr="00FA1DF1" w14:paraId="3661B720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F311476" w14:textId="77777777" w:rsidR="00DB41A9" w:rsidRPr="00E8412E" w:rsidRDefault="00DB41A9" w:rsidP="00FA1DF1">
            <w:pPr>
              <w:spacing w:after="0"/>
              <w:rPr>
                <w:rFonts w:ascii="Calibri" w:eastAsia="MS Gothic" w:hAnsi="Calibri" w:cs="Calibri"/>
                <w:bCs w:val="0"/>
                <w:sz w:val="22"/>
                <w:szCs w:val="22"/>
              </w:rPr>
            </w:pPr>
            <w:proofErr w:type="spellStart"/>
            <w:r w:rsidRPr="00E8412E">
              <w:rPr>
                <w:rFonts w:ascii="Calibri" w:eastAsia="MS Gothic" w:hAnsi="Calibri" w:cs="Calibri"/>
                <w:bCs w:val="0"/>
                <w:sz w:val="22"/>
                <w:szCs w:val="22"/>
              </w:rPr>
              <w:t>Tylosin</w:t>
            </w:r>
            <w:proofErr w:type="spellEnd"/>
          </w:p>
        </w:tc>
        <w:tc>
          <w:tcPr>
            <w:tcW w:w="5245" w:type="dxa"/>
          </w:tcPr>
          <w:p w14:paraId="28EAC5E4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Mice</w:t>
            </w:r>
          </w:p>
          <w:p w14:paraId="51B67932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q12hrs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PO, SC</w:t>
            </w:r>
          </w:p>
          <w:p w14:paraId="605443EF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BBF20B0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Rats:</w:t>
            </w:r>
          </w:p>
          <w:p w14:paraId="0E55B2E4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 q24hrs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x 5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 days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</w:t>
            </w:r>
          </w:p>
          <w:p w14:paraId="08BC9C17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6BCC7DE" w14:textId="77777777" w:rsidR="00DB41A9" w:rsidRDefault="00DB41A9" w:rsidP="00435E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Mice, Rats:</w:t>
            </w:r>
          </w:p>
          <w:p w14:paraId="534C5B40" w14:textId="77777777" w:rsidR="00DB41A9" w:rsidRDefault="00DB41A9" w:rsidP="00435E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0.5 mg/ml in drinking water </w:t>
            </w:r>
          </w:p>
          <w:p w14:paraId="33558AA8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3B511CA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Rabbits:  </w:t>
            </w:r>
          </w:p>
          <w:p w14:paraId="04786C85" w14:textId="77777777" w:rsidR="00DB41A9" w:rsidRPr="00FA1DF1" w:rsidRDefault="00DB41A9" w:rsidP="00913EA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DF1">
              <w:rPr>
                <w:rFonts w:ascii="Calibri" w:hAnsi="Calibri" w:cs="Calibri"/>
                <w:sz w:val="22"/>
                <w:szCs w:val="22"/>
              </w:rPr>
              <w:t>mg/kg q12-24hrs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FA1DF1">
              <w:rPr>
                <w:rFonts w:ascii="Calibri" w:hAnsi="Calibri" w:cs="Calibri"/>
                <w:sz w:val="22"/>
                <w:szCs w:val="22"/>
              </w:rPr>
              <w:t xml:space="preserve"> PO, SC, IM</w:t>
            </w:r>
          </w:p>
        </w:tc>
        <w:tc>
          <w:tcPr>
            <w:tcW w:w="4820" w:type="dxa"/>
          </w:tcPr>
          <w:p w14:paraId="1AE7E0CB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Mice:  100ul/dose </w:t>
            </w:r>
          </w:p>
          <w:p w14:paraId="4CA7813F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1161BE3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838B0AD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>Rats:  300ul/dose</w:t>
            </w:r>
          </w:p>
          <w:p w14:paraId="11DEB531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7D9D233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A61A73F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  <w:p w14:paraId="3F5A08FC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C177101" w14:textId="77777777" w:rsidR="00DB41A9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A571BD1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A1D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>500ul/dose</w:t>
            </w:r>
          </w:p>
          <w:p w14:paraId="6AD2DC7E" w14:textId="77777777" w:rsidR="00DB41A9" w:rsidRPr="00FA1DF1" w:rsidRDefault="00DB41A9" w:rsidP="00FA1DF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55D4B6" w14:textId="273590E0" w:rsidR="00F335BE" w:rsidRDefault="00F335BE"/>
    <w:tbl>
      <w:tblPr>
        <w:tblStyle w:val="PlainTable1"/>
        <w:tblpPr w:leftFromText="180" w:rightFromText="180" w:vertAnchor="text" w:horzAnchor="margin" w:tblpX="-39" w:tblpY="351"/>
        <w:tblW w:w="12759" w:type="dxa"/>
        <w:tblLayout w:type="fixed"/>
        <w:tblLook w:val="04A0" w:firstRow="1" w:lastRow="0" w:firstColumn="1" w:lastColumn="0" w:noHBand="0" w:noVBand="1"/>
      </w:tblPr>
      <w:tblGrid>
        <w:gridCol w:w="2949"/>
        <w:gridCol w:w="5245"/>
        <w:gridCol w:w="4565"/>
      </w:tblGrid>
      <w:tr w:rsidR="00DB41A9" w:rsidRPr="00F335BE" w14:paraId="08F74642" w14:textId="77777777" w:rsidTr="00F33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  <w:shd w:val="clear" w:color="auto" w:fill="BDD6EE" w:themeFill="accent5" w:themeFillTint="66"/>
          </w:tcPr>
          <w:p w14:paraId="6B586F40" w14:textId="3E8B6815" w:rsidR="00DB41A9" w:rsidRPr="00F335BE" w:rsidRDefault="00F335BE" w:rsidP="00F335B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An</w:t>
            </w:r>
            <w:r w:rsidR="00DB41A9" w:rsidRPr="00F335BE">
              <w:rPr>
                <w:rFonts w:ascii="Calibri" w:hAnsi="Calibri" w:cs="Calibri"/>
              </w:rPr>
              <w:t>esthetics/</w:t>
            </w:r>
          </w:p>
          <w:p w14:paraId="3AB0D76C" w14:textId="77777777" w:rsidR="00DB41A9" w:rsidRPr="00F335BE" w:rsidRDefault="00DB41A9" w:rsidP="00F335BE">
            <w:pPr>
              <w:spacing w:after="0"/>
              <w:rPr>
                <w:rFonts w:ascii="Calibri" w:hAnsi="Calibri" w:cs="Calibri"/>
              </w:rPr>
            </w:pPr>
            <w:r w:rsidRPr="00F335BE">
              <w:rPr>
                <w:rFonts w:ascii="Calibri" w:hAnsi="Calibri" w:cs="Calibri"/>
              </w:rPr>
              <w:t>Sedatives</w:t>
            </w:r>
          </w:p>
        </w:tc>
        <w:tc>
          <w:tcPr>
            <w:tcW w:w="5245" w:type="dxa"/>
            <w:shd w:val="clear" w:color="auto" w:fill="BDD6EE" w:themeFill="accent5" w:themeFillTint="66"/>
          </w:tcPr>
          <w:p w14:paraId="2D4516BD" w14:textId="77777777" w:rsidR="00DB41A9" w:rsidRPr="00F335BE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35BE">
              <w:rPr>
                <w:rFonts w:ascii="Calibri" w:hAnsi="Calibri" w:cs="Calibri"/>
              </w:rPr>
              <w:t>Dosage/Frequency/Duration</w:t>
            </w:r>
          </w:p>
        </w:tc>
        <w:tc>
          <w:tcPr>
            <w:tcW w:w="4565" w:type="dxa"/>
            <w:shd w:val="clear" w:color="auto" w:fill="BDD6EE" w:themeFill="accent5" w:themeFillTint="66"/>
          </w:tcPr>
          <w:p w14:paraId="4E861598" w14:textId="77777777" w:rsidR="00DB41A9" w:rsidRPr="00F335BE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35BE">
              <w:rPr>
                <w:rFonts w:ascii="Calibri" w:hAnsi="Calibri" w:cs="Calibri"/>
              </w:rPr>
              <w:t>Max Volume/A/S</w:t>
            </w:r>
          </w:p>
        </w:tc>
      </w:tr>
      <w:tr w:rsidR="00DB41A9" w:rsidRPr="00C551F1" w14:paraId="00757DEA" w14:textId="77777777" w:rsidTr="00F33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114F03E2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Acepromazine</w:t>
            </w:r>
            <w:proofErr w:type="spellEnd"/>
            <w:r w:rsidRPr="00C551F1">
              <w:rPr>
                <w:rFonts w:ascii="Calibri" w:hAnsi="Calibri" w:cs="Calibri"/>
                <w:sz w:val="22"/>
                <w:szCs w:val="22"/>
              </w:rPr>
              <w:t xml:space="preserve"> (“</w:t>
            </w: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Atravet</w:t>
            </w:r>
            <w:proofErr w:type="spellEnd"/>
            <w:r w:rsidRPr="00C551F1">
              <w:rPr>
                <w:rFonts w:ascii="Calibri" w:hAnsi="Calibri" w:cs="Calibri"/>
                <w:sz w:val="22"/>
                <w:szCs w:val="22"/>
              </w:rPr>
              <w:t>”)</w:t>
            </w:r>
          </w:p>
          <w:p w14:paraId="1F54A788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DABC940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254629C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A57C3A7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D890D55" w14:textId="37B6585E" w:rsidR="00DB41A9" w:rsidRPr="00C551F1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D13C89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F0C389F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0.5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-5 mg/kg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once </w:t>
            </w:r>
            <w:r>
              <w:rPr>
                <w:rFonts w:ascii="Calibri" w:hAnsi="Calibri" w:cs="Calibri"/>
                <w:sz w:val="22"/>
                <w:szCs w:val="22"/>
              </w:rPr>
              <w:t>IM, SC, PO</w:t>
            </w:r>
          </w:p>
          <w:p w14:paraId="42E51855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9E3565C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174ED53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Rats:</w:t>
            </w:r>
          </w:p>
          <w:p w14:paraId="0DC16432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0.5-2.5 mg/kg once IM, SC, PO</w:t>
            </w:r>
          </w:p>
          <w:p w14:paraId="4F2D79E0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EA96A8E" w14:textId="77777777" w:rsidR="00DB41A9" w:rsidRPr="00C551F1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 w:rsidR="00720479" w:rsidRPr="00C551F1">
              <w:rPr>
                <w:rFonts w:ascii="Calibri" w:hAnsi="Calibri" w:cs="Calibri"/>
                <w:sz w:val="22"/>
                <w:szCs w:val="22"/>
              </w:rPr>
              <w:t>0.25-</w:t>
            </w:r>
            <w:r w:rsidR="00720479">
              <w:rPr>
                <w:rFonts w:ascii="Calibri" w:hAnsi="Calibri" w:cs="Calibri"/>
                <w:sz w:val="22"/>
                <w:szCs w:val="22"/>
              </w:rPr>
              <w:t xml:space="preserve">5 mg/kg </w:t>
            </w:r>
            <w:r w:rsidR="00720479" w:rsidRPr="00C551F1">
              <w:rPr>
                <w:rFonts w:ascii="Calibri" w:hAnsi="Calibri" w:cs="Calibri"/>
                <w:sz w:val="22"/>
                <w:szCs w:val="22"/>
              </w:rPr>
              <w:t>once</w:t>
            </w:r>
            <w:r w:rsidR="00720479">
              <w:rPr>
                <w:rFonts w:ascii="Calibri" w:hAnsi="Calibri" w:cs="Calibri"/>
                <w:sz w:val="22"/>
                <w:szCs w:val="22"/>
              </w:rPr>
              <w:t xml:space="preserve"> IM, SC</w:t>
            </w:r>
          </w:p>
        </w:tc>
        <w:tc>
          <w:tcPr>
            <w:tcW w:w="4565" w:type="dxa"/>
          </w:tcPr>
          <w:p w14:paraId="64699DCE" w14:textId="77777777" w:rsidR="00DB41A9" w:rsidRPr="00C551F1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Mice:  100ul</w:t>
            </w:r>
          </w:p>
          <w:p w14:paraId="42D7C7F8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B1F50A7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B661586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6547D17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Rat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300ul</w:t>
            </w:r>
          </w:p>
          <w:p w14:paraId="724F92CD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1BFAC32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13DDF64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500ul</w:t>
            </w:r>
          </w:p>
          <w:p w14:paraId="1DAFE874" w14:textId="77777777" w:rsidR="00DB41A9" w:rsidRPr="00C551F1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C551F1" w14:paraId="364AD458" w14:textId="77777777" w:rsidTr="00F335B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366C3055" w14:textId="77777777" w:rsidR="00DB41A9" w:rsidRPr="00C551F1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Atipamezole</w:t>
            </w:r>
            <w:proofErr w:type="spellEnd"/>
            <w:r w:rsidRPr="00C551F1">
              <w:rPr>
                <w:rFonts w:ascii="Calibri" w:hAnsi="Calibri" w:cs="Calibri"/>
                <w:sz w:val="22"/>
                <w:szCs w:val="22"/>
              </w:rPr>
              <w:t xml:space="preserve"> (“</w:t>
            </w: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Antisedan</w:t>
            </w:r>
            <w:proofErr w:type="spellEnd"/>
            <w:r w:rsidRPr="00C551F1">
              <w:rPr>
                <w:rFonts w:ascii="Calibri" w:hAnsi="Calibri" w:cs="Calibri"/>
                <w:sz w:val="22"/>
                <w:szCs w:val="22"/>
              </w:rPr>
              <w:t>”)</w:t>
            </w:r>
          </w:p>
        </w:tc>
        <w:tc>
          <w:tcPr>
            <w:tcW w:w="5245" w:type="dxa"/>
          </w:tcPr>
          <w:p w14:paraId="6F86FACE" w14:textId="02F88469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Mice/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Rats</w:t>
            </w:r>
            <w:r>
              <w:rPr>
                <w:rFonts w:ascii="Calibri" w:hAnsi="Calibri" w:cs="Calibri"/>
                <w:sz w:val="22"/>
                <w:szCs w:val="22"/>
              </w:rPr>
              <w:t>/Rabbits:</w:t>
            </w:r>
          </w:p>
          <w:p w14:paraId="2850928B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Same volume as agent reversing</w:t>
            </w:r>
          </w:p>
          <w:p w14:paraId="3612B2F1" w14:textId="77777777" w:rsidR="00DB41A9" w:rsidRPr="00C551F1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5" w:type="dxa"/>
          </w:tcPr>
          <w:p w14:paraId="0667963B" w14:textId="77777777" w:rsidR="00DB41A9" w:rsidRPr="00C551F1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Mice:  100ul</w:t>
            </w:r>
          </w:p>
          <w:p w14:paraId="4EFAFE45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300ul</w:t>
            </w:r>
          </w:p>
          <w:p w14:paraId="0DF976AF" w14:textId="77777777" w:rsidR="00DB41A9" w:rsidRPr="00C551F1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1ml</w:t>
            </w:r>
          </w:p>
        </w:tc>
      </w:tr>
      <w:tr w:rsidR="00DB41A9" w:rsidRPr="00C551F1" w14:paraId="2AC00166" w14:textId="77777777" w:rsidTr="00F33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FC0F35B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Dexmedetomidine</w:t>
            </w:r>
          </w:p>
          <w:p w14:paraId="5844DD86" w14:textId="77777777" w:rsidR="00DB41A9" w:rsidRPr="00C551F1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(“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Dexdomitor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”)</w:t>
            </w:r>
          </w:p>
        </w:tc>
        <w:tc>
          <w:tcPr>
            <w:tcW w:w="5245" w:type="dxa"/>
          </w:tcPr>
          <w:p w14:paraId="64F33412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Mice/Rats:</w:t>
            </w:r>
          </w:p>
          <w:p w14:paraId="612180EF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0.5 mg/kg + 75 mg/kg ketamine IP</w:t>
            </w:r>
          </w:p>
          <w:p w14:paraId="5D5C4E54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935CFDF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</w:p>
          <w:p w14:paraId="6074724E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0.005 mg/kg IM</w:t>
            </w:r>
          </w:p>
          <w:p w14:paraId="6E52016F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B0DFD21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0.035-0.05 mg/kg IM</w:t>
            </w:r>
          </w:p>
        </w:tc>
        <w:tc>
          <w:tcPr>
            <w:tcW w:w="4565" w:type="dxa"/>
          </w:tcPr>
          <w:p w14:paraId="42B4B3EE" w14:textId="77777777" w:rsidR="00DB41A9" w:rsidRPr="00C551F1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Mice:  100ul</w:t>
            </w:r>
          </w:p>
          <w:p w14:paraId="29677C3E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 300ul</w:t>
            </w:r>
          </w:p>
          <w:p w14:paraId="021614A5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422A14F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1m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5F932359" w14:textId="77777777" w:rsidR="00DB41A9" w:rsidRPr="00C551F1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C551F1" w14:paraId="2F282AD9" w14:textId="77777777" w:rsidTr="00F335B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23026765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Diazepam (“Valium”)</w:t>
            </w:r>
          </w:p>
          <w:p w14:paraId="2E455027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420C66E" w14:textId="77777777" w:rsidR="00DB41A9" w:rsidRPr="00F335BE" w:rsidRDefault="00DB41A9" w:rsidP="00F335BE">
            <w:pPr>
              <w:spacing w:after="0"/>
              <w:rPr>
                <w:rFonts w:ascii="Calibri" w:eastAsia="Times New Roman" w:hAnsi="Calibri" w:cs="Calibri"/>
                <w:bCs w:val="0"/>
                <w:color w:val="FF0000"/>
                <w:sz w:val="22"/>
                <w:szCs w:val="22"/>
              </w:rPr>
            </w:pPr>
            <w:r w:rsidRPr="00F335BE">
              <w:rPr>
                <w:rFonts w:ascii="Calibri" w:eastAsia="Times New Roman" w:hAnsi="Calibri" w:cs="Calibri"/>
                <w:bCs w:val="0"/>
                <w:color w:val="FF0000"/>
                <w:sz w:val="22"/>
                <w:szCs w:val="22"/>
              </w:rPr>
              <w:t>C</w:t>
            </w:r>
          </w:p>
          <w:p w14:paraId="686930C4" w14:textId="77777777" w:rsidR="00DB41A9" w:rsidRPr="00C551F1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680C1FF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Rats: </w:t>
            </w:r>
          </w:p>
          <w:p w14:paraId="349F119A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2.5 - 5 mg/kg IM</w:t>
            </w:r>
          </w:p>
          <w:p w14:paraId="5573231A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D167456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Rabbits:</w:t>
            </w:r>
          </w:p>
          <w:p w14:paraId="2179E38E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0.5-2 mg/kg IM, IV</w:t>
            </w:r>
          </w:p>
          <w:p w14:paraId="5C1B9008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 mg/kg IM, IV</w:t>
            </w:r>
          </w:p>
          <w:p w14:paraId="28716DC1" w14:textId="77777777" w:rsidR="00DB41A9" w:rsidRPr="00C551F1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5" w:type="dxa"/>
          </w:tcPr>
          <w:p w14:paraId="228C5FB4" w14:textId="77777777" w:rsidR="00DB41A9" w:rsidRPr="00C551F1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Mice:  100ul</w:t>
            </w:r>
          </w:p>
          <w:p w14:paraId="7E404704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300ul</w:t>
            </w:r>
          </w:p>
          <w:p w14:paraId="02F1615D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130D879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1ml</w:t>
            </w:r>
          </w:p>
          <w:p w14:paraId="49ED4977" w14:textId="77777777" w:rsidR="00DB41A9" w:rsidRPr="00C551F1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C551F1" w14:paraId="5D05F83B" w14:textId="77777777" w:rsidTr="00F33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33009EA6" w14:textId="77777777" w:rsidR="00DB41A9" w:rsidRPr="00C551F1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Isofluorane</w:t>
            </w:r>
            <w:proofErr w:type="spellEnd"/>
            <w:r w:rsidRPr="00C551F1">
              <w:rPr>
                <w:rFonts w:ascii="Calibri" w:hAnsi="Calibri" w:cs="Calibri"/>
                <w:sz w:val="22"/>
                <w:szCs w:val="22"/>
              </w:rPr>
              <w:t xml:space="preserve"> (“</w:t>
            </w: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Isoflo</w:t>
            </w:r>
            <w:proofErr w:type="spellEnd"/>
            <w:r w:rsidRPr="00C551F1">
              <w:rPr>
                <w:rFonts w:ascii="Calibri" w:hAnsi="Calibri" w:cs="Calibri"/>
                <w:sz w:val="22"/>
                <w:szCs w:val="22"/>
              </w:rPr>
              <w:t>”)</w:t>
            </w:r>
          </w:p>
        </w:tc>
        <w:tc>
          <w:tcPr>
            <w:tcW w:w="5245" w:type="dxa"/>
          </w:tcPr>
          <w:p w14:paraId="39D31BA6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Mice/Rats/Rabbits:</w:t>
            </w:r>
          </w:p>
          <w:p w14:paraId="72D884DF" w14:textId="77777777" w:rsidR="00DB41A9" w:rsidRPr="00C551F1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% delivered with oxygen</w:t>
            </w:r>
            <w:r>
              <w:rPr>
                <w:rFonts w:ascii="Calibri" w:hAnsi="Calibri" w:cs="Calibri"/>
                <w:sz w:val="22"/>
                <w:szCs w:val="22"/>
              </w:rPr>
              <w:t>, inhalant</w:t>
            </w:r>
          </w:p>
        </w:tc>
        <w:tc>
          <w:tcPr>
            <w:tcW w:w="4565" w:type="dxa"/>
          </w:tcPr>
          <w:p w14:paraId="776E497B" w14:textId="77777777" w:rsidR="00DB41A9" w:rsidRPr="00C551F1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To effect</w:t>
            </w:r>
          </w:p>
        </w:tc>
      </w:tr>
    </w:tbl>
    <w:p w14:paraId="754D760A" w14:textId="77777777" w:rsidR="00F335BE" w:rsidRDefault="00F335BE">
      <w:r>
        <w:rPr>
          <w:b/>
          <w:bCs/>
        </w:rPr>
        <w:br w:type="page"/>
      </w:r>
    </w:p>
    <w:tbl>
      <w:tblPr>
        <w:tblStyle w:val="PlainTable1"/>
        <w:tblpPr w:leftFromText="180" w:rightFromText="180" w:vertAnchor="text" w:horzAnchor="margin" w:tblpX="-39" w:tblpY="351"/>
        <w:tblW w:w="12759" w:type="dxa"/>
        <w:tblLayout w:type="fixed"/>
        <w:tblLook w:val="04A0" w:firstRow="1" w:lastRow="0" w:firstColumn="1" w:lastColumn="0" w:noHBand="0" w:noVBand="1"/>
      </w:tblPr>
      <w:tblGrid>
        <w:gridCol w:w="2949"/>
        <w:gridCol w:w="5245"/>
        <w:gridCol w:w="4565"/>
      </w:tblGrid>
      <w:tr w:rsidR="00DB41A9" w:rsidRPr="00C551F1" w14:paraId="17929998" w14:textId="77777777" w:rsidTr="00F33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4910D5B6" w14:textId="12FC54CA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lastRenderedPageBreak/>
              <w:t>Ketamine (“</w:t>
            </w: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Vetalar</w:t>
            </w:r>
            <w:proofErr w:type="spellEnd"/>
            <w:r w:rsidRPr="00C551F1">
              <w:rPr>
                <w:rFonts w:ascii="Calibri" w:hAnsi="Calibri" w:cs="Calibri"/>
                <w:sz w:val="22"/>
                <w:szCs w:val="22"/>
              </w:rPr>
              <w:t>”, “</w:t>
            </w: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Ketalean</w:t>
            </w:r>
            <w:proofErr w:type="spellEnd"/>
            <w:r w:rsidRPr="00C551F1">
              <w:rPr>
                <w:rFonts w:ascii="Calibri" w:hAnsi="Calibri" w:cs="Calibri"/>
                <w:sz w:val="22"/>
                <w:szCs w:val="22"/>
              </w:rPr>
              <w:t>”)</w:t>
            </w:r>
          </w:p>
          <w:p w14:paraId="25E37EA3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37DECB0" w14:textId="77777777" w:rsidR="00DB41A9" w:rsidRPr="00F335BE" w:rsidRDefault="00DB41A9" w:rsidP="00F335BE">
            <w:pPr>
              <w:spacing w:after="0"/>
              <w:rPr>
                <w:rFonts w:ascii="Calibri" w:eastAsia="Times New Roman" w:hAnsi="Calibri" w:cs="Calibri"/>
                <w:bCs w:val="0"/>
                <w:color w:val="FF0000"/>
                <w:sz w:val="22"/>
                <w:szCs w:val="22"/>
              </w:rPr>
            </w:pPr>
            <w:r w:rsidRPr="00F335BE">
              <w:rPr>
                <w:rFonts w:ascii="Calibri" w:eastAsia="Times New Roman" w:hAnsi="Calibri" w:cs="Calibri"/>
                <w:bCs w:val="0"/>
                <w:color w:val="FF0000"/>
                <w:sz w:val="22"/>
                <w:szCs w:val="22"/>
              </w:rPr>
              <w:t>C</w:t>
            </w:r>
          </w:p>
          <w:p w14:paraId="30EDDBA1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00F721A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B991547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AD229B9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B976B63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AFF6BE3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3DAC2C6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A6F0191" w14:textId="77777777" w:rsidR="00DB41A9" w:rsidRPr="00C551F1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F9BF722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/Rats: </w:t>
            </w:r>
          </w:p>
          <w:p w14:paraId="2D64BCED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mg/kg for light sedation IM</w:t>
            </w:r>
          </w:p>
          <w:p w14:paraId="0CB0A751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00F9262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Mice:</w:t>
            </w:r>
          </w:p>
          <w:p w14:paraId="206FB024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mg/kg for heavy sedation IM</w:t>
            </w:r>
          </w:p>
          <w:p w14:paraId="77C51656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EF6E976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Rats:</w:t>
            </w:r>
          </w:p>
          <w:p w14:paraId="41673666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25-40 mg/kg for heavy sedation IM</w:t>
            </w:r>
          </w:p>
          <w:p w14:paraId="74FD822B" w14:textId="77777777" w:rsidR="00F335BE" w:rsidRDefault="00F335BE" w:rsidP="00F335BE">
            <w:pPr>
              <w:pStyle w:val="CommentText"/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7890C4D" w14:textId="3E4B9770" w:rsidR="00DB41A9" w:rsidRDefault="00DB41A9" w:rsidP="00F335BE">
            <w:pPr>
              <w:pStyle w:val="CommentText"/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Rabbits:</w:t>
            </w:r>
          </w:p>
          <w:p w14:paraId="5FA9DFA8" w14:textId="77777777" w:rsidR="00DB41A9" w:rsidRDefault="00DB41A9" w:rsidP="00F335BE">
            <w:pPr>
              <w:pStyle w:val="CommentText"/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F86E18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86E18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86E18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86E18">
              <w:rPr>
                <w:rFonts w:ascii="Calibri" w:hAnsi="Calibri" w:cs="Calibri"/>
                <w:sz w:val="22"/>
                <w:szCs w:val="22"/>
              </w:rPr>
              <w:t>mg/kg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IV</w:t>
            </w:r>
          </w:p>
          <w:p w14:paraId="12F60946" w14:textId="77777777" w:rsidR="00DB41A9" w:rsidRDefault="00DB41A9" w:rsidP="00F335BE">
            <w:pPr>
              <w:pStyle w:val="CommentText"/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1-50 mg/kg IM</w:t>
            </w:r>
          </w:p>
          <w:p w14:paraId="03CE82B9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2479A0D7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691C2355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77845BCD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2BC2C534" w14:textId="77777777" w:rsidR="00DB41A9" w:rsidRPr="00BA1313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5" w:type="dxa"/>
          </w:tcPr>
          <w:p w14:paraId="6A142DEF" w14:textId="77777777" w:rsidR="00DB41A9" w:rsidRPr="00C551F1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Mice:  100ul</w:t>
            </w:r>
          </w:p>
          <w:p w14:paraId="2333260F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300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7C47C711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8ACCB2A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7FAEAFD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015D8DC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12D2771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C4F0ABF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F5C09B2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D4BC44A" w14:textId="77777777" w:rsidR="00DB41A9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1m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2EB602B5" w14:textId="77777777" w:rsidR="00DB41A9" w:rsidRPr="00C551F1" w:rsidRDefault="00DB41A9" w:rsidP="00F335B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C551F1" w14:paraId="7C88A1C5" w14:textId="77777777" w:rsidTr="00F33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6E1B2CC4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Midazolam (“Versed”)</w:t>
            </w:r>
          </w:p>
          <w:p w14:paraId="23913F29" w14:textId="77777777" w:rsidR="00DB41A9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630C75D" w14:textId="77777777" w:rsidR="00DB41A9" w:rsidRPr="00F335BE" w:rsidRDefault="00DB41A9" w:rsidP="00F335BE">
            <w:pPr>
              <w:spacing w:after="0"/>
              <w:rPr>
                <w:rFonts w:ascii="Calibri" w:eastAsia="Times New Roman" w:hAnsi="Calibri" w:cs="Calibri"/>
                <w:bCs w:val="0"/>
                <w:color w:val="FF0000"/>
                <w:sz w:val="22"/>
                <w:szCs w:val="22"/>
              </w:rPr>
            </w:pPr>
            <w:r w:rsidRPr="00F335BE">
              <w:rPr>
                <w:rFonts w:ascii="Calibri" w:eastAsia="Times New Roman" w:hAnsi="Calibri" w:cs="Calibri"/>
                <w:bCs w:val="0"/>
                <w:color w:val="FF0000"/>
                <w:sz w:val="22"/>
                <w:szCs w:val="22"/>
              </w:rPr>
              <w:t>C</w:t>
            </w:r>
          </w:p>
          <w:p w14:paraId="685CE87D" w14:textId="77777777" w:rsidR="00DB41A9" w:rsidRPr="00C551F1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F4FFBF8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Rats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A823CE6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2-3 mg/kg IM</w:t>
            </w:r>
          </w:p>
          <w:p w14:paraId="01671B4D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B8F00FB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Rabbits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8259D3C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0.5-2 mg/kg IM, IV, IP</w:t>
            </w:r>
          </w:p>
          <w:p w14:paraId="060DFC83" w14:textId="77777777" w:rsidR="00DB41A9" w:rsidRPr="00C551F1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0.25-0.5 mg/kg IM</w:t>
            </w:r>
          </w:p>
        </w:tc>
        <w:tc>
          <w:tcPr>
            <w:tcW w:w="4565" w:type="dxa"/>
          </w:tcPr>
          <w:p w14:paraId="619CEEC7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100ul</w:t>
            </w:r>
          </w:p>
          <w:p w14:paraId="5C81232E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300ul</w:t>
            </w:r>
          </w:p>
          <w:p w14:paraId="612F8236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6A33E09" w14:textId="77777777" w:rsidR="00DB41A9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Rabbits:  1ml</w:t>
            </w:r>
          </w:p>
          <w:p w14:paraId="6F8FD91A" w14:textId="77777777" w:rsidR="00DB41A9" w:rsidRPr="00C551F1" w:rsidRDefault="00DB41A9" w:rsidP="00F335B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C551F1" w14:paraId="20120613" w14:textId="77777777" w:rsidTr="00F335B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14:paraId="20B2EEFD" w14:textId="77777777" w:rsidR="00DB41A9" w:rsidRPr="00C551F1" w:rsidRDefault="00DB41A9" w:rsidP="00F335B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Xylazine</w:t>
            </w:r>
            <w:proofErr w:type="spellEnd"/>
            <w:r w:rsidRPr="00C551F1">
              <w:rPr>
                <w:rFonts w:ascii="Calibri" w:hAnsi="Calibri" w:cs="Calibri"/>
                <w:sz w:val="22"/>
                <w:szCs w:val="22"/>
              </w:rPr>
              <w:t xml:space="preserve"> (“</w:t>
            </w: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Rom</w:t>
            </w:r>
            <w:r>
              <w:rPr>
                <w:rFonts w:ascii="Calibri" w:hAnsi="Calibri" w:cs="Calibri"/>
                <w:sz w:val="22"/>
                <w:szCs w:val="22"/>
              </w:rPr>
              <w:t>pu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End"/>
            <w:r w:rsidRPr="00C551F1">
              <w:rPr>
                <w:rFonts w:ascii="Calibri" w:hAnsi="Calibri" w:cs="Calibri"/>
                <w:sz w:val="22"/>
                <w:szCs w:val="22"/>
              </w:rPr>
              <w:t>”)</w:t>
            </w:r>
          </w:p>
        </w:tc>
        <w:tc>
          <w:tcPr>
            <w:tcW w:w="5245" w:type="dxa"/>
          </w:tcPr>
          <w:p w14:paraId="0B873375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</w:t>
            </w:r>
            <w:r>
              <w:rPr>
                <w:rFonts w:ascii="Calibri" w:hAnsi="Calibri" w:cs="Calibri"/>
                <w:sz w:val="22"/>
                <w:szCs w:val="22"/>
              </w:rPr>
              <w:t>/R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ats: </w:t>
            </w:r>
          </w:p>
          <w:p w14:paraId="5CCDD749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5-10 mg/kg SC, IM, IP</w:t>
            </w:r>
          </w:p>
          <w:p w14:paraId="5FC8E5CE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9250B52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</w:p>
          <w:p w14:paraId="5D300973" w14:textId="77777777" w:rsidR="00DB41A9" w:rsidRPr="00C551F1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mg/kg </w:t>
            </w:r>
            <w:r>
              <w:rPr>
                <w:rFonts w:ascii="Calibri" w:hAnsi="Calibri" w:cs="Calibri"/>
                <w:sz w:val="22"/>
                <w:szCs w:val="22"/>
              </w:rPr>
              <w:t>IM, SC</w:t>
            </w:r>
          </w:p>
        </w:tc>
        <w:tc>
          <w:tcPr>
            <w:tcW w:w="4565" w:type="dxa"/>
          </w:tcPr>
          <w:p w14:paraId="16E7779E" w14:textId="77777777" w:rsidR="00DB41A9" w:rsidRPr="00C551F1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Mice:  100ul</w:t>
            </w:r>
          </w:p>
          <w:p w14:paraId="48E49F05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300ul</w:t>
            </w:r>
          </w:p>
          <w:p w14:paraId="05B56C9E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C14AF29" w14:textId="77777777" w:rsidR="00DB41A9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1ml</w:t>
            </w:r>
          </w:p>
          <w:p w14:paraId="60906F7D" w14:textId="77777777" w:rsidR="00DB41A9" w:rsidRPr="00C551F1" w:rsidRDefault="00DB41A9" w:rsidP="00F335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7FBD73" w14:textId="77777777" w:rsidR="005B4CD5" w:rsidRDefault="005B4CD5">
      <w:pPr>
        <w:rPr>
          <w:sz w:val="18"/>
          <w:szCs w:val="18"/>
        </w:rPr>
      </w:pPr>
    </w:p>
    <w:p w14:paraId="3593C79C" w14:textId="77777777" w:rsidR="005B4CD5" w:rsidRDefault="005B4CD5">
      <w:pPr>
        <w:rPr>
          <w:sz w:val="18"/>
          <w:szCs w:val="18"/>
        </w:rPr>
      </w:pPr>
    </w:p>
    <w:p w14:paraId="6140318E" w14:textId="77777777" w:rsidR="00F335BE" w:rsidRDefault="00F335BE">
      <w:r>
        <w:rPr>
          <w:b/>
          <w:bCs/>
        </w:rPr>
        <w:br w:type="page"/>
      </w:r>
    </w:p>
    <w:tbl>
      <w:tblPr>
        <w:tblStyle w:val="PlainTable1"/>
        <w:tblW w:w="12616" w:type="dxa"/>
        <w:tblLayout w:type="fixed"/>
        <w:tblLook w:val="04A0" w:firstRow="1" w:lastRow="0" w:firstColumn="1" w:lastColumn="0" w:noHBand="0" w:noVBand="1"/>
      </w:tblPr>
      <w:tblGrid>
        <w:gridCol w:w="2551"/>
        <w:gridCol w:w="5245"/>
        <w:gridCol w:w="4820"/>
      </w:tblGrid>
      <w:tr w:rsidR="00DB41A9" w:rsidRPr="00F335BE" w14:paraId="6115CFC9" w14:textId="77777777" w:rsidTr="00F33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BDD6EE" w:themeFill="accent5" w:themeFillTint="66"/>
          </w:tcPr>
          <w:p w14:paraId="015D75A1" w14:textId="0D5717FE" w:rsidR="00DB41A9" w:rsidRPr="00F335BE" w:rsidRDefault="00DB41A9" w:rsidP="00882224">
            <w:pPr>
              <w:spacing w:after="0"/>
              <w:rPr>
                <w:rFonts w:ascii="Calibri" w:hAnsi="Calibri" w:cs="Calibri"/>
              </w:rPr>
            </w:pPr>
            <w:r w:rsidRPr="00F335BE">
              <w:rPr>
                <w:rFonts w:ascii="Calibri" w:hAnsi="Calibri" w:cs="Calibri"/>
              </w:rPr>
              <w:lastRenderedPageBreak/>
              <w:t>Other Medications</w:t>
            </w:r>
          </w:p>
        </w:tc>
        <w:tc>
          <w:tcPr>
            <w:tcW w:w="5245" w:type="dxa"/>
            <w:shd w:val="clear" w:color="auto" w:fill="BDD6EE" w:themeFill="accent5" w:themeFillTint="66"/>
          </w:tcPr>
          <w:p w14:paraId="79765FAD" w14:textId="77777777" w:rsidR="00DB41A9" w:rsidRPr="00F335BE" w:rsidRDefault="00DB41A9" w:rsidP="0088222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35BE">
              <w:rPr>
                <w:rFonts w:ascii="Calibri" w:hAnsi="Calibri" w:cs="Calibri"/>
              </w:rPr>
              <w:t>Dosage/Frequency/Duration</w:t>
            </w:r>
          </w:p>
        </w:tc>
        <w:tc>
          <w:tcPr>
            <w:tcW w:w="4820" w:type="dxa"/>
            <w:shd w:val="clear" w:color="auto" w:fill="BDD6EE" w:themeFill="accent5" w:themeFillTint="66"/>
          </w:tcPr>
          <w:p w14:paraId="4D4166E9" w14:textId="77777777" w:rsidR="00DB41A9" w:rsidRPr="00F335BE" w:rsidRDefault="00DB41A9" w:rsidP="0088222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335BE">
              <w:rPr>
                <w:rFonts w:ascii="Calibri" w:hAnsi="Calibri" w:cs="Calibri"/>
              </w:rPr>
              <w:t>Max Volume/A/S</w:t>
            </w:r>
          </w:p>
        </w:tc>
      </w:tr>
      <w:tr w:rsidR="00DB41A9" w:rsidRPr="00C551F1" w14:paraId="042AFA1D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CD13560" w14:textId="77777777" w:rsidR="00DB41A9" w:rsidRPr="00C551F1" w:rsidRDefault="00DB41A9" w:rsidP="0088222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50% dextrose</w:t>
            </w:r>
          </w:p>
        </w:tc>
        <w:tc>
          <w:tcPr>
            <w:tcW w:w="5245" w:type="dxa"/>
          </w:tcPr>
          <w:p w14:paraId="20F9782C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0.25 ml/kg </w:t>
            </w:r>
            <w:r w:rsidRPr="007F4386">
              <w:rPr>
                <w:rFonts w:ascii="Calibri" w:hAnsi="Calibri" w:cs="Calibri"/>
                <w:sz w:val="22"/>
                <w:szCs w:val="22"/>
              </w:rPr>
              <w:t>diluted 1:1 with isotonic saline</w:t>
            </w:r>
            <w:r>
              <w:rPr>
                <w:rFonts w:ascii="Calibri" w:hAnsi="Calibri" w:cs="Calibri"/>
                <w:sz w:val="22"/>
                <w:szCs w:val="22"/>
              </w:rPr>
              <w:t>, q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2-3h </w:t>
            </w:r>
            <w:r>
              <w:rPr>
                <w:rFonts w:ascii="Calibri" w:hAnsi="Calibri" w:cs="Calibri"/>
                <w:sz w:val="22"/>
                <w:szCs w:val="22"/>
              </w:rPr>
              <w:t>as needed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 PO</w:t>
            </w:r>
            <w:r>
              <w:rPr>
                <w:rFonts w:ascii="Calibri" w:hAnsi="Calibri" w:cs="Calibri"/>
                <w:sz w:val="22"/>
                <w:szCs w:val="22"/>
              </w:rPr>
              <w:t>, IP</w:t>
            </w:r>
          </w:p>
          <w:p w14:paraId="1D83F0BA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9B6C0A5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Mice: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500ul/24h</w:t>
            </w:r>
            <w:r>
              <w:rPr>
                <w:rFonts w:ascii="Calibri" w:hAnsi="Calibri" w:cs="Calibri"/>
                <w:sz w:val="22"/>
                <w:szCs w:val="22"/>
              </w:rPr>
              <w:t>rs</w:t>
            </w:r>
          </w:p>
          <w:p w14:paraId="2309792C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D7A50CC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5ml/24h</w:t>
            </w:r>
            <w:r>
              <w:rPr>
                <w:rFonts w:ascii="Calibri" w:hAnsi="Calibri" w:cs="Calibri"/>
                <w:sz w:val="22"/>
                <w:szCs w:val="22"/>
              </w:rPr>
              <w:t>rs</w:t>
            </w:r>
          </w:p>
          <w:p w14:paraId="187A6459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A6873B0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15ml/24h</w:t>
            </w:r>
            <w:r>
              <w:rPr>
                <w:rFonts w:ascii="Calibri" w:hAnsi="Calibri" w:cs="Calibri"/>
                <w:sz w:val="22"/>
                <w:szCs w:val="22"/>
              </w:rPr>
              <w:t>rs</w:t>
            </w:r>
          </w:p>
        </w:tc>
      </w:tr>
      <w:tr w:rsidR="00DB41A9" w:rsidRPr="00C551F1" w14:paraId="6F89B22C" w14:textId="77777777" w:rsidTr="00E2165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FC9CF79" w14:textId="77777777" w:rsidR="00DB41A9" w:rsidRPr="00C551F1" w:rsidRDefault="00DB41A9" w:rsidP="0088222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Atropine</w:t>
            </w:r>
          </w:p>
        </w:tc>
        <w:tc>
          <w:tcPr>
            <w:tcW w:w="5245" w:type="dxa"/>
          </w:tcPr>
          <w:p w14:paraId="7C2943D9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</w:t>
            </w:r>
            <w:r>
              <w:rPr>
                <w:rFonts w:ascii="Calibri" w:hAnsi="Calibri" w:cs="Calibri"/>
                <w:sz w:val="22"/>
                <w:szCs w:val="22"/>
              </w:rPr>
              <w:t>/R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ats: </w:t>
            </w:r>
          </w:p>
          <w:p w14:paraId="561CD571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0.0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-0.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mg/kg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SC IM </w:t>
            </w:r>
          </w:p>
          <w:p w14:paraId="2B352266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0.05-0.1 mg/kg SC</w:t>
            </w:r>
          </w:p>
          <w:p w14:paraId="30756E6F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41A67D3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</w:p>
          <w:p w14:paraId="240DD8C7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0.1-1 mg/kg IM</w:t>
            </w:r>
          </w:p>
          <w:p w14:paraId="42421CF0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0.1-3 mg/kg SC</w:t>
            </w:r>
          </w:p>
          <w:p w14:paraId="7D5D0A6F" w14:textId="77777777" w:rsidR="00DB41A9" w:rsidRPr="00C551F1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5665010" w14:textId="77777777" w:rsidR="00DB41A9" w:rsidRPr="00C551F1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Mice:  100ul</w:t>
            </w:r>
          </w:p>
          <w:p w14:paraId="711A6CDF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300ul</w:t>
            </w:r>
          </w:p>
          <w:p w14:paraId="1DCF98FB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02C934D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91BBAB5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 1ml</w:t>
            </w:r>
          </w:p>
          <w:p w14:paraId="07D65B0B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56F6BB2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E835611" w14:textId="77777777" w:rsidR="00DB41A9" w:rsidRPr="00C551F1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C551F1" w14:paraId="7FB3F2E8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08546B0" w14:textId="77777777" w:rsidR="00DB41A9" w:rsidRPr="00C551F1" w:rsidRDefault="00DB41A9" w:rsidP="0088222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Epinephrine</w:t>
            </w:r>
          </w:p>
        </w:tc>
        <w:tc>
          <w:tcPr>
            <w:tcW w:w="5245" w:type="dxa"/>
          </w:tcPr>
          <w:p w14:paraId="63F5756C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Mice/Rats:</w:t>
            </w:r>
          </w:p>
          <w:p w14:paraId="5AA6A5DF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0.01-0.1 mg/kg IV prn</w:t>
            </w:r>
          </w:p>
          <w:p w14:paraId="46363C98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9BF723B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</w:p>
          <w:p w14:paraId="308E0133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0.2-0.4 mg/kg IM, IV, IT</w:t>
            </w:r>
          </w:p>
          <w:p w14:paraId="52D0CB1B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F0CB2E3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Mice/Rats:  100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ul</w:t>
            </w:r>
          </w:p>
          <w:p w14:paraId="15376D68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A6CF870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183A95F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Rabbits: 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0.5-5ml</w:t>
            </w:r>
          </w:p>
          <w:p w14:paraId="03055C56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C551F1" w14:paraId="6C6BAB21" w14:textId="77777777" w:rsidTr="00E2165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57A99CF" w14:textId="77777777" w:rsidR="00DB41A9" w:rsidRDefault="00DB41A9" w:rsidP="0088222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Fenbendazole (antiparasitic)</w:t>
            </w:r>
          </w:p>
          <w:p w14:paraId="3B6B576B" w14:textId="77777777" w:rsidR="00DB41A9" w:rsidRDefault="00DB41A9" w:rsidP="0088222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(“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Panacur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”)</w:t>
            </w:r>
          </w:p>
          <w:p w14:paraId="200566B6" w14:textId="77777777" w:rsidR="00F36387" w:rsidRDefault="00F36387" w:rsidP="00F3638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Fenbendazole (antiparasitic)</w:t>
            </w:r>
          </w:p>
          <w:p w14:paraId="0A42087F" w14:textId="77777777" w:rsidR="00F36387" w:rsidRPr="00E93113" w:rsidRDefault="00F36387" w:rsidP="00F36387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(“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Panacur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”) cont’d</w:t>
            </w:r>
          </w:p>
        </w:tc>
        <w:tc>
          <w:tcPr>
            <w:tcW w:w="5245" w:type="dxa"/>
          </w:tcPr>
          <w:p w14:paraId="224CA257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Rats/mice:</w:t>
            </w:r>
          </w:p>
          <w:p w14:paraId="70FCB1E7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20-50 mg/kg q24hrs x 5days PO</w:t>
            </w:r>
          </w:p>
          <w:p w14:paraId="2941E401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  <w:p w14:paraId="5FD4C238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Rabbits:</w:t>
            </w:r>
          </w:p>
          <w:p w14:paraId="002BBF9B" w14:textId="77777777" w:rsidR="00DB41A9" w:rsidRPr="00C551F1" w:rsidRDefault="00DB41A9" w:rsidP="007F43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mg/kg q24h for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 days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repeat in 14days</w:t>
            </w:r>
          </w:p>
        </w:tc>
        <w:tc>
          <w:tcPr>
            <w:tcW w:w="4820" w:type="dxa"/>
          </w:tcPr>
          <w:p w14:paraId="296247F2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Mice, Rats,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Rabbits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3A6ECFF4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deliver as medicated feed</w:t>
            </w:r>
          </w:p>
          <w:p w14:paraId="482C9EFA" w14:textId="77777777" w:rsidR="00F36387" w:rsidRDefault="00F36387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2DBC6C4" w14:textId="77777777" w:rsidR="00F36387" w:rsidRDefault="00F36387" w:rsidP="00F3638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Mice, Rats,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Rabbits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74654742" w14:textId="77777777" w:rsidR="00F36387" w:rsidRPr="00C551F1" w:rsidRDefault="00F36387" w:rsidP="00F3638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deliver as medicated feed</w:t>
            </w:r>
          </w:p>
        </w:tc>
      </w:tr>
      <w:tr w:rsidR="00DB41A9" w:rsidRPr="00C551F1" w14:paraId="72E8FEDE" w14:textId="77777777" w:rsidTr="00E2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9911070" w14:textId="77777777" w:rsidR="00DB41A9" w:rsidRDefault="00DB41A9" w:rsidP="0088222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Furosemide</w:t>
            </w:r>
          </w:p>
          <w:p w14:paraId="4D3097D7" w14:textId="77777777" w:rsidR="00DB41A9" w:rsidRPr="00C551F1" w:rsidRDefault="00DB41A9" w:rsidP="0088222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(“Lasix”)</w:t>
            </w:r>
          </w:p>
        </w:tc>
        <w:tc>
          <w:tcPr>
            <w:tcW w:w="5245" w:type="dxa"/>
          </w:tcPr>
          <w:p w14:paraId="5C3DF662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 Rats: </w:t>
            </w:r>
          </w:p>
          <w:p w14:paraId="5022014A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5-10 mg/kg q12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SC, IM</w:t>
            </w:r>
          </w:p>
          <w:p w14:paraId="43985F1B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78565E0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</w:p>
          <w:p w14:paraId="63A21EC2" w14:textId="77777777" w:rsidR="00DB41A9" w:rsidRPr="00C551F1" w:rsidRDefault="00DB41A9" w:rsidP="007F438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-5 mg/kg q12hrs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prn PO, SC, IM, IV</w:t>
            </w:r>
          </w:p>
        </w:tc>
        <w:tc>
          <w:tcPr>
            <w:tcW w:w="4820" w:type="dxa"/>
          </w:tcPr>
          <w:p w14:paraId="5D82F741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Mice: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100ul</w:t>
            </w:r>
          </w:p>
          <w:p w14:paraId="04545F58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300ul</w:t>
            </w:r>
          </w:p>
          <w:p w14:paraId="33DA6792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CC41325" w14:textId="77777777" w:rsidR="00DB41A9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1ml</w:t>
            </w:r>
          </w:p>
          <w:p w14:paraId="691F5ABD" w14:textId="77777777" w:rsidR="00DB41A9" w:rsidRPr="00C551F1" w:rsidRDefault="00DB41A9" w:rsidP="008822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41A9" w:rsidRPr="00C551F1" w14:paraId="6AA6DF48" w14:textId="77777777" w:rsidTr="00E2165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F866E4D" w14:textId="77777777" w:rsidR="00DB41A9" w:rsidRPr="00C551F1" w:rsidRDefault="00DB41A9" w:rsidP="0088222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Heparin</w:t>
            </w:r>
          </w:p>
        </w:tc>
        <w:tc>
          <w:tcPr>
            <w:tcW w:w="5245" w:type="dxa"/>
          </w:tcPr>
          <w:p w14:paraId="1342704B" w14:textId="77777777" w:rsidR="00DB41A9" w:rsidRPr="00C551F1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mg/kg</w:t>
            </w:r>
            <w:r w:rsidRPr="00C551F1">
              <w:rPr>
                <w:rFonts w:ascii="Calibri" w:hAnsi="Calibri" w:cs="Calibri"/>
                <w:sz w:val="22"/>
                <w:szCs w:val="22"/>
              </w:rPr>
              <w:t xml:space="preserve"> every 12 </w:t>
            </w:r>
            <w:proofErr w:type="spellStart"/>
            <w:r w:rsidRPr="00C551F1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IV</w:t>
            </w:r>
          </w:p>
        </w:tc>
        <w:tc>
          <w:tcPr>
            <w:tcW w:w="4820" w:type="dxa"/>
          </w:tcPr>
          <w:p w14:paraId="76DAAB82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Mice:  100ul</w:t>
            </w:r>
          </w:p>
          <w:p w14:paraId="3DF29842" w14:textId="77777777" w:rsidR="00DB41A9" w:rsidRPr="00C551F1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EC7E389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>Rats: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300ul</w:t>
            </w:r>
          </w:p>
          <w:p w14:paraId="7570C426" w14:textId="77777777" w:rsidR="00DB41A9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221EDA7" w14:textId="77777777" w:rsidR="00DB41A9" w:rsidRPr="00C551F1" w:rsidRDefault="00DB41A9" w:rsidP="008822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551F1">
              <w:rPr>
                <w:rFonts w:ascii="Calibri" w:hAnsi="Calibri" w:cs="Calibri"/>
                <w:sz w:val="22"/>
                <w:szCs w:val="22"/>
              </w:rPr>
              <w:t xml:space="preserve">Rabbits: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1F1">
              <w:rPr>
                <w:rFonts w:ascii="Calibri" w:hAnsi="Calibri" w:cs="Calibri"/>
                <w:sz w:val="22"/>
                <w:szCs w:val="22"/>
              </w:rPr>
              <w:t>1ml</w:t>
            </w:r>
          </w:p>
        </w:tc>
      </w:tr>
    </w:tbl>
    <w:p w14:paraId="30D3D91E" w14:textId="77777777" w:rsidR="005B4CD5" w:rsidRPr="00A5391B" w:rsidRDefault="005B4CD5">
      <w:pPr>
        <w:rPr>
          <w:sz w:val="18"/>
          <w:szCs w:val="18"/>
        </w:rPr>
      </w:pPr>
    </w:p>
    <w:p w14:paraId="4A3D1F5A" w14:textId="77777777" w:rsidR="00040D92" w:rsidRPr="00040D92" w:rsidRDefault="00040D92" w:rsidP="00040D92">
      <w:pPr>
        <w:spacing w:after="0"/>
        <w:rPr>
          <w:vanish/>
        </w:rPr>
      </w:pPr>
    </w:p>
    <w:p w14:paraId="25E8962A" w14:textId="77777777" w:rsidR="00E266D9" w:rsidRPr="00E266D9" w:rsidRDefault="00E266D9" w:rsidP="00E266D9">
      <w:pPr>
        <w:spacing w:after="0"/>
        <w:rPr>
          <w:vanish/>
        </w:rPr>
      </w:pPr>
    </w:p>
    <w:p w14:paraId="66D59442" w14:textId="77777777" w:rsidR="002B2DCE" w:rsidRPr="00A5391B" w:rsidRDefault="002B2DCE" w:rsidP="002F486F">
      <w:pPr>
        <w:spacing w:after="0"/>
        <w:rPr>
          <w:rFonts w:ascii="Calibri" w:hAnsi="Calibri" w:cs="Calibri"/>
          <w:sz w:val="2"/>
          <w:szCs w:val="2"/>
        </w:rPr>
      </w:pPr>
    </w:p>
    <w:sectPr w:rsidR="002B2DCE" w:rsidRPr="00A5391B" w:rsidSect="00F335BE">
      <w:footerReference w:type="default" r:id="rId11"/>
      <w:pgSz w:w="15840" w:h="12240" w:orient="landscape"/>
      <w:pgMar w:top="851" w:right="907" w:bottom="851" w:left="907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08FAD" w14:textId="77777777" w:rsidR="002470F5" w:rsidRDefault="002470F5" w:rsidP="00BE56DE">
      <w:pPr>
        <w:spacing w:after="0"/>
      </w:pPr>
      <w:r>
        <w:separator/>
      </w:r>
    </w:p>
  </w:endnote>
  <w:endnote w:type="continuationSeparator" w:id="0">
    <w:p w14:paraId="362B86AF" w14:textId="77777777" w:rsidR="002470F5" w:rsidRDefault="002470F5" w:rsidP="00BE56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8A9C0" w14:textId="218F4EF2" w:rsidR="00720F8E" w:rsidRPr="00F86E18" w:rsidRDefault="00720F8E">
    <w:pPr>
      <w:pStyle w:val="Footer"/>
      <w:rPr>
        <w:rFonts w:ascii="Calibri" w:hAnsi="Calibri" w:cs="Calibri"/>
        <w:sz w:val="20"/>
        <w:szCs w:val="20"/>
        <w:lang w:val="en-CA"/>
      </w:rPr>
    </w:pPr>
    <w:r w:rsidRPr="00F86E18">
      <w:rPr>
        <w:rFonts w:ascii="Calibri" w:hAnsi="Calibri" w:cs="Calibri"/>
        <w:sz w:val="20"/>
        <w:szCs w:val="20"/>
        <w:lang w:val="en-CA"/>
      </w:rPr>
      <w:t>L</w:t>
    </w:r>
    <w:r w:rsidR="00E11C66">
      <w:rPr>
        <w:rFonts w:ascii="Calibri" w:hAnsi="Calibri" w:cs="Calibri"/>
        <w:sz w:val="20"/>
        <w:szCs w:val="20"/>
        <w:lang w:val="en-CA"/>
      </w:rPr>
      <w:t>ast revis</w:t>
    </w:r>
    <w:r w:rsidR="00591DE6">
      <w:rPr>
        <w:rFonts w:ascii="Calibri" w:hAnsi="Calibri" w:cs="Calibri"/>
        <w:sz w:val="20"/>
        <w:szCs w:val="20"/>
        <w:lang w:val="en-CA"/>
      </w:rPr>
      <w:t>ed 20</w:t>
    </w:r>
    <w:r w:rsidR="00E21655">
      <w:rPr>
        <w:rFonts w:ascii="Calibri" w:hAnsi="Calibri" w:cs="Calibri"/>
        <w:sz w:val="20"/>
        <w:szCs w:val="20"/>
        <w:lang w:val="en-CA"/>
      </w:rPr>
      <w:t>20 (colours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A15D" w14:textId="77777777" w:rsidR="002470F5" w:rsidRDefault="002470F5" w:rsidP="00BE56DE">
      <w:pPr>
        <w:spacing w:after="0"/>
      </w:pPr>
      <w:r>
        <w:separator/>
      </w:r>
    </w:p>
  </w:footnote>
  <w:footnote w:type="continuationSeparator" w:id="0">
    <w:p w14:paraId="4C59EAF1" w14:textId="77777777" w:rsidR="002470F5" w:rsidRDefault="002470F5" w:rsidP="00BE56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30AE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846D0"/>
    <w:multiLevelType w:val="hybridMultilevel"/>
    <w:tmpl w:val="AB3A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3DF1"/>
    <w:multiLevelType w:val="hybridMultilevel"/>
    <w:tmpl w:val="54F6B95C"/>
    <w:lvl w:ilvl="0" w:tplc="50645E20">
      <w:start w:val="22"/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640DC"/>
    <w:multiLevelType w:val="hybridMultilevel"/>
    <w:tmpl w:val="1C7C3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557C"/>
    <w:multiLevelType w:val="hybridMultilevel"/>
    <w:tmpl w:val="2DCA2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CB"/>
    <w:rsid w:val="0000490E"/>
    <w:rsid w:val="00017BEB"/>
    <w:rsid w:val="00027258"/>
    <w:rsid w:val="000274F7"/>
    <w:rsid w:val="00034A03"/>
    <w:rsid w:val="00040D92"/>
    <w:rsid w:val="00064869"/>
    <w:rsid w:val="000677C4"/>
    <w:rsid w:val="00073F86"/>
    <w:rsid w:val="00092467"/>
    <w:rsid w:val="000A0A18"/>
    <w:rsid w:val="000D3002"/>
    <w:rsid w:val="000D3969"/>
    <w:rsid w:val="000D5DF6"/>
    <w:rsid w:val="001031EA"/>
    <w:rsid w:val="00105072"/>
    <w:rsid w:val="00110801"/>
    <w:rsid w:val="001155CB"/>
    <w:rsid w:val="001240D0"/>
    <w:rsid w:val="001264CB"/>
    <w:rsid w:val="00137481"/>
    <w:rsid w:val="00153474"/>
    <w:rsid w:val="0015756B"/>
    <w:rsid w:val="0016382B"/>
    <w:rsid w:val="001722B2"/>
    <w:rsid w:val="001A22DB"/>
    <w:rsid w:val="001B4FB6"/>
    <w:rsid w:val="001D312E"/>
    <w:rsid w:val="001D334E"/>
    <w:rsid w:val="001D5FDD"/>
    <w:rsid w:val="001E39CA"/>
    <w:rsid w:val="00201343"/>
    <w:rsid w:val="00214D1D"/>
    <w:rsid w:val="00226F0A"/>
    <w:rsid w:val="00230578"/>
    <w:rsid w:val="002470F5"/>
    <w:rsid w:val="00256FE5"/>
    <w:rsid w:val="0026179D"/>
    <w:rsid w:val="00264EB1"/>
    <w:rsid w:val="00271F61"/>
    <w:rsid w:val="002A306D"/>
    <w:rsid w:val="002A6545"/>
    <w:rsid w:val="002B2DCE"/>
    <w:rsid w:val="002F486F"/>
    <w:rsid w:val="002F5BA5"/>
    <w:rsid w:val="00305554"/>
    <w:rsid w:val="00315E0F"/>
    <w:rsid w:val="003333A1"/>
    <w:rsid w:val="00342124"/>
    <w:rsid w:val="003633DF"/>
    <w:rsid w:val="00367634"/>
    <w:rsid w:val="003A1BBA"/>
    <w:rsid w:val="003B0E35"/>
    <w:rsid w:val="003C2555"/>
    <w:rsid w:val="003C282C"/>
    <w:rsid w:val="003D0ABE"/>
    <w:rsid w:val="003D0ADE"/>
    <w:rsid w:val="004053D8"/>
    <w:rsid w:val="00405C7A"/>
    <w:rsid w:val="004171E9"/>
    <w:rsid w:val="00426F8A"/>
    <w:rsid w:val="00432667"/>
    <w:rsid w:val="00433E67"/>
    <w:rsid w:val="00435E51"/>
    <w:rsid w:val="00437CF0"/>
    <w:rsid w:val="00443661"/>
    <w:rsid w:val="004629EF"/>
    <w:rsid w:val="00470EAB"/>
    <w:rsid w:val="004800B3"/>
    <w:rsid w:val="00480F4B"/>
    <w:rsid w:val="0048609F"/>
    <w:rsid w:val="00494F98"/>
    <w:rsid w:val="004A53EA"/>
    <w:rsid w:val="004E37AF"/>
    <w:rsid w:val="004F76C6"/>
    <w:rsid w:val="004F78F4"/>
    <w:rsid w:val="005045E4"/>
    <w:rsid w:val="00522121"/>
    <w:rsid w:val="005478A7"/>
    <w:rsid w:val="005648F6"/>
    <w:rsid w:val="00566DCB"/>
    <w:rsid w:val="00567743"/>
    <w:rsid w:val="005701FA"/>
    <w:rsid w:val="00571161"/>
    <w:rsid w:val="0057585D"/>
    <w:rsid w:val="0057645A"/>
    <w:rsid w:val="00580218"/>
    <w:rsid w:val="00590944"/>
    <w:rsid w:val="00591DE6"/>
    <w:rsid w:val="005B0022"/>
    <w:rsid w:val="005B4CD5"/>
    <w:rsid w:val="005B6B5F"/>
    <w:rsid w:val="005C5678"/>
    <w:rsid w:val="005E39CA"/>
    <w:rsid w:val="005E71F5"/>
    <w:rsid w:val="00617DBD"/>
    <w:rsid w:val="00652836"/>
    <w:rsid w:val="0066079E"/>
    <w:rsid w:val="00662BD1"/>
    <w:rsid w:val="006716F3"/>
    <w:rsid w:val="00677FD9"/>
    <w:rsid w:val="006936AD"/>
    <w:rsid w:val="00694C89"/>
    <w:rsid w:val="006964C2"/>
    <w:rsid w:val="006B0F57"/>
    <w:rsid w:val="006C671B"/>
    <w:rsid w:val="006D15B1"/>
    <w:rsid w:val="006D2102"/>
    <w:rsid w:val="006D31F2"/>
    <w:rsid w:val="006F4581"/>
    <w:rsid w:val="00720479"/>
    <w:rsid w:val="00720D05"/>
    <w:rsid w:val="00720F8E"/>
    <w:rsid w:val="0072644C"/>
    <w:rsid w:val="00766FED"/>
    <w:rsid w:val="007678A5"/>
    <w:rsid w:val="0078209F"/>
    <w:rsid w:val="00785CC0"/>
    <w:rsid w:val="00786C07"/>
    <w:rsid w:val="00786DD6"/>
    <w:rsid w:val="007A56F3"/>
    <w:rsid w:val="007B31D3"/>
    <w:rsid w:val="007D6F7A"/>
    <w:rsid w:val="007E4220"/>
    <w:rsid w:val="007F3765"/>
    <w:rsid w:val="007F39EB"/>
    <w:rsid w:val="007F4386"/>
    <w:rsid w:val="008026CD"/>
    <w:rsid w:val="00803806"/>
    <w:rsid w:val="0080412A"/>
    <w:rsid w:val="00811143"/>
    <w:rsid w:val="00811AC6"/>
    <w:rsid w:val="00825713"/>
    <w:rsid w:val="00840885"/>
    <w:rsid w:val="00850505"/>
    <w:rsid w:val="00871BF5"/>
    <w:rsid w:val="008741CB"/>
    <w:rsid w:val="00881091"/>
    <w:rsid w:val="00882224"/>
    <w:rsid w:val="008A195E"/>
    <w:rsid w:val="008B4ADA"/>
    <w:rsid w:val="008C04F1"/>
    <w:rsid w:val="008C4AA2"/>
    <w:rsid w:val="008E5A4C"/>
    <w:rsid w:val="0090259C"/>
    <w:rsid w:val="0091008B"/>
    <w:rsid w:val="00911825"/>
    <w:rsid w:val="00913EAF"/>
    <w:rsid w:val="009145D1"/>
    <w:rsid w:val="00943C23"/>
    <w:rsid w:val="00947217"/>
    <w:rsid w:val="0096745E"/>
    <w:rsid w:val="0098440C"/>
    <w:rsid w:val="00984F3A"/>
    <w:rsid w:val="009C1867"/>
    <w:rsid w:val="009E2069"/>
    <w:rsid w:val="00A134CC"/>
    <w:rsid w:val="00A21C79"/>
    <w:rsid w:val="00A24226"/>
    <w:rsid w:val="00A27C29"/>
    <w:rsid w:val="00A307FC"/>
    <w:rsid w:val="00A354C3"/>
    <w:rsid w:val="00A5391B"/>
    <w:rsid w:val="00A54FE0"/>
    <w:rsid w:val="00A637DE"/>
    <w:rsid w:val="00A66801"/>
    <w:rsid w:val="00A71AF1"/>
    <w:rsid w:val="00A809FF"/>
    <w:rsid w:val="00AB334A"/>
    <w:rsid w:val="00AD1C4E"/>
    <w:rsid w:val="00AD77AC"/>
    <w:rsid w:val="00AE2D98"/>
    <w:rsid w:val="00AF75D8"/>
    <w:rsid w:val="00B05B32"/>
    <w:rsid w:val="00B179CF"/>
    <w:rsid w:val="00B27DFA"/>
    <w:rsid w:val="00B435D6"/>
    <w:rsid w:val="00B5370B"/>
    <w:rsid w:val="00B54CA5"/>
    <w:rsid w:val="00B64DDC"/>
    <w:rsid w:val="00B736AC"/>
    <w:rsid w:val="00B76A81"/>
    <w:rsid w:val="00BA1313"/>
    <w:rsid w:val="00BA1518"/>
    <w:rsid w:val="00BA3D7A"/>
    <w:rsid w:val="00BB0702"/>
    <w:rsid w:val="00BB1AF1"/>
    <w:rsid w:val="00BB512E"/>
    <w:rsid w:val="00BC02D6"/>
    <w:rsid w:val="00BD5181"/>
    <w:rsid w:val="00BE56DE"/>
    <w:rsid w:val="00BF253C"/>
    <w:rsid w:val="00C335C7"/>
    <w:rsid w:val="00C551F1"/>
    <w:rsid w:val="00C5524B"/>
    <w:rsid w:val="00C559DD"/>
    <w:rsid w:val="00C55A8A"/>
    <w:rsid w:val="00C5678B"/>
    <w:rsid w:val="00C6231A"/>
    <w:rsid w:val="00C861C9"/>
    <w:rsid w:val="00C9617E"/>
    <w:rsid w:val="00CA41E0"/>
    <w:rsid w:val="00CB3EBA"/>
    <w:rsid w:val="00CB5987"/>
    <w:rsid w:val="00CB6FC9"/>
    <w:rsid w:val="00CD636C"/>
    <w:rsid w:val="00CE1837"/>
    <w:rsid w:val="00CF2A7D"/>
    <w:rsid w:val="00CF70BB"/>
    <w:rsid w:val="00CF736E"/>
    <w:rsid w:val="00D20AEB"/>
    <w:rsid w:val="00D25C42"/>
    <w:rsid w:val="00D26EBB"/>
    <w:rsid w:val="00D409F3"/>
    <w:rsid w:val="00D464F2"/>
    <w:rsid w:val="00D61965"/>
    <w:rsid w:val="00D77904"/>
    <w:rsid w:val="00D85ED5"/>
    <w:rsid w:val="00D93E40"/>
    <w:rsid w:val="00DB0221"/>
    <w:rsid w:val="00DB2441"/>
    <w:rsid w:val="00DB41A9"/>
    <w:rsid w:val="00DC2D4A"/>
    <w:rsid w:val="00DC391F"/>
    <w:rsid w:val="00DD57B5"/>
    <w:rsid w:val="00DD6019"/>
    <w:rsid w:val="00E009E3"/>
    <w:rsid w:val="00E10E2F"/>
    <w:rsid w:val="00E11C66"/>
    <w:rsid w:val="00E21655"/>
    <w:rsid w:val="00E24554"/>
    <w:rsid w:val="00E266D9"/>
    <w:rsid w:val="00E8412E"/>
    <w:rsid w:val="00E93113"/>
    <w:rsid w:val="00E969BF"/>
    <w:rsid w:val="00E9722C"/>
    <w:rsid w:val="00EA28BB"/>
    <w:rsid w:val="00EC2E1F"/>
    <w:rsid w:val="00EC603D"/>
    <w:rsid w:val="00EC74B2"/>
    <w:rsid w:val="00ED0EB5"/>
    <w:rsid w:val="00ED54A3"/>
    <w:rsid w:val="00F13339"/>
    <w:rsid w:val="00F1673F"/>
    <w:rsid w:val="00F22989"/>
    <w:rsid w:val="00F335BE"/>
    <w:rsid w:val="00F33B25"/>
    <w:rsid w:val="00F36387"/>
    <w:rsid w:val="00F37EF9"/>
    <w:rsid w:val="00F42B52"/>
    <w:rsid w:val="00F43A61"/>
    <w:rsid w:val="00F57DD5"/>
    <w:rsid w:val="00F60DCE"/>
    <w:rsid w:val="00F672AD"/>
    <w:rsid w:val="00F86E18"/>
    <w:rsid w:val="00F870C1"/>
    <w:rsid w:val="00FA1DF1"/>
    <w:rsid w:val="00FB39A3"/>
    <w:rsid w:val="00FC2005"/>
    <w:rsid w:val="00FD073C"/>
    <w:rsid w:val="00FD416B"/>
    <w:rsid w:val="00FE4A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1133EA"/>
  <w15:chartTrackingRefBased/>
  <w15:docId w15:val="{0FFB2A8B-BED8-4D36-96A1-877A17D9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79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566DCB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CommentReference">
    <w:name w:val="annotation reference"/>
    <w:uiPriority w:val="99"/>
    <w:semiHidden/>
    <w:unhideWhenUsed/>
    <w:rsid w:val="00AB3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3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33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34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34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E56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56D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56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56DE"/>
    <w:rPr>
      <w:sz w:val="24"/>
      <w:szCs w:val="24"/>
      <w:lang w:val="en-US" w:eastAsia="en-US"/>
    </w:rPr>
  </w:style>
  <w:style w:type="table" w:styleId="ColorfulShading-Accent2">
    <w:name w:val="Colorful Shading Accent 2"/>
    <w:basedOn w:val="TableNormal"/>
    <w:uiPriority w:val="62"/>
    <w:rsid w:val="00DD601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yperlink">
    <w:name w:val="Hyperlink"/>
    <w:uiPriority w:val="99"/>
    <w:unhideWhenUsed/>
    <w:rsid w:val="004053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370B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71"/>
    <w:rsid w:val="0098440C"/>
    <w:rPr>
      <w:sz w:val="24"/>
      <w:szCs w:val="24"/>
      <w:lang w:val="en-US" w:eastAsia="en-US"/>
    </w:rPr>
  </w:style>
  <w:style w:type="paragraph" w:styleId="Revision">
    <w:name w:val="Revision"/>
    <w:hidden/>
    <w:uiPriority w:val="62"/>
    <w:rsid w:val="005B6B5F"/>
    <w:rPr>
      <w:sz w:val="24"/>
      <w:szCs w:val="24"/>
      <w:lang w:val="en-US" w:eastAsia="en-US"/>
    </w:rPr>
  </w:style>
  <w:style w:type="table" w:styleId="PlainTable1">
    <w:name w:val="Plain Table 1"/>
    <w:basedOn w:val="TableNormal"/>
    <w:uiPriority w:val="41"/>
    <w:rsid w:val="00E2165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11AFB6AA7194DB8C8D34E2BCA1691" ma:contentTypeVersion="1" ma:contentTypeDescription="Create a new document." ma:contentTypeScope="" ma:versionID="d9a3ae36701ba649e5d4383c5262a9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0299-EF94-4D05-BB9B-D9F1CAACCEA9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D4BC65-78A3-4D5D-A1B6-09D8ABD28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1F00DC-60C4-4406-8DFC-CB3E92A90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91875-92BD-49FF-A5F3-B1413628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916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Karin Johnston, AEL - Special Projects</cp:lastModifiedBy>
  <cp:revision>3</cp:revision>
  <cp:lastPrinted>2016-02-26T16:37:00Z</cp:lastPrinted>
  <dcterms:created xsi:type="dcterms:W3CDTF">2023-04-10T18:19:00Z</dcterms:created>
  <dcterms:modified xsi:type="dcterms:W3CDTF">2023-04-10T18:30:00Z</dcterms:modified>
</cp:coreProperties>
</file>