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2E74" w14:textId="7266E2CE" w:rsidR="00E56421" w:rsidRPr="00DC7A5B" w:rsidRDefault="00E56421" w:rsidP="00E56421">
      <w:pPr>
        <w:spacing w:before="100" w:beforeAutospacing="1" w:after="100" w:afterAutospacing="1"/>
        <w:textAlignment w:val="baseline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40"/>
          <w:szCs w:val="40"/>
          <w14:ligatures w14:val="none"/>
        </w:rPr>
      </w:pPr>
      <w:r w:rsidRPr="00DC7A5B">
        <w:rPr>
          <w:rFonts w:ascii="Verdana" w:eastAsia="Times New Roman" w:hAnsi="Verdana" w:cs="Arial"/>
          <w:b/>
          <w:bCs/>
          <w:color w:val="000000"/>
          <w:kern w:val="36"/>
          <w:sz w:val="40"/>
          <w:szCs w:val="40"/>
          <w14:ligatures w14:val="none"/>
        </w:rPr>
        <w:t>Teaching assistant positions</w:t>
      </w:r>
    </w:p>
    <w:p w14:paraId="1520DDD9" w14:textId="77777777" w:rsidR="008D4C4B" w:rsidRPr="00BA6A2B" w:rsidRDefault="00AD2A79" w:rsidP="008D4C4B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  <w:r w:rsidRPr="00384EF0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 xml:space="preserve">The Philosophy Department is accepting applications for Teaching Assistant positions </w:t>
      </w:r>
      <w:r w:rsidR="008E5247" w:rsidRPr="00384EF0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>(</w:t>
      </w:r>
      <w:r w:rsidR="008E5247" w:rsidRPr="00384EF0">
        <w:rPr>
          <w:rFonts w:ascii="Verdana" w:hAnsi="Verdana"/>
          <w:color w:val="000000" w:themeColor="text1"/>
          <w:sz w:val="18"/>
          <w:szCs w:val="18"/>
        </w:rPr>
        <w:t xml:space="preserve">CUPE 4163, Specialist Instructional) </w:t>
      </w:r>
      <w:r w:rsidRPr="00384EF0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>for the following term(</w:t>
      </w:r>
      <w:r w:rsidRPr="000C2E17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 xml:space="preserve">s): </w:t>
      </w:r>
      <w:r w:rsidR="00EF6776" w:rsidRPr="008D4C4B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>Summer</w:t>
      </w:r>
      <w:r w:rsidR="004C5ECB" w:rsidRPr="000C2E17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 xml:space="preserve"> </w:t>
      </w:r>
      <w:r w:rsidRPr="000C2E17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>2025.</w:t>
      </w:r>
      <w:r w:rsidR="008D4C4B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 xml:space="preserve"> </w:t>
      </w:r>
      <w:r w:rsidR="008D4C4B">
        <w:rPr>
          <w:rFonts w:ascii="Verdana" w:hAnsi="Verdana" w:cs="Calibri"/>
          <w:sz w:val="18"/>
          <w:szCs w:val="18"/>
        </w:rPr>
        <w:t>The number and specific nature of available positions are subject to funding availability, enrollment, and/or course cancellation.</w:t>
      </w:r>
    </w:p>
    <w:p w14:paraId="241311E3" w14:textId="28EB982A" w:rsidR="00AD2A79" w:rsidRPr="00384EF0" w:rsidRDefault="00AD2A79" w:rsidP="005F7FAB">
      <w:pPr>
        <w:pStyle w:val="Default"/>
        <w:rPr>
          <w:rFonts w:ascii="Verdana" w:hAnsi="Verdana"/>
          <w:color w:val="000000" w:themeColor="text1"/>
          <w:sz w:val="18"/>
          <w:szCs w:val="18"/>
        </w:rPr>
      </w:pPr>
    </w:p>
    <w:p w14:paraId="78E14239" w14:textId="77777777" w:rsidR="008E5247" w:rsidRPr="00384EF0" w:rsidRDefault="008E5247" w:rsidP="00AD2A79">
      <w:pPr>
        <w:autoSpaceDE w:val="0"/>
        <w:autoSpaceDN w:val="0"/>
        <w:adjustRightInd w:val="0"/>
        <w:rPr>
          <w:rFonts w:ascii="Verdana" w:hAnsi="Verdana" w:cs="Arial"/>
          <w:color w:val="000000" w:themeColor="text1"/>
          <w:kern w:val="0"/>
          <w:sz w:val="18"/>
          <w:szCs w:val="18"/>
        </w:rPr>
      </w:pPr>
    </w:p>
    <w:p w14:paraId="154F018A" w14:textId="2E7B50FA" w:rsidR="00E56421" w:rsidRDefault="00AD2A79" w:rsidP="00BA6A2B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384EF0">
        <w:rPr>
          <w:rFonts w:ascii="Verdana" w:hAnsi="Verdana" w:cs="Arial"/>
          <w:color w:val="000000" w:themeColor="text1"/>
          <w:kern w:val="0"/>
          <w:sz w:val="18"/>
          <w:szCs w:val="18"/>
        </w:rPr>
        <w:t xml:space="preserve">Priority will first be given to graduate students enrolled in the department’s graduate program, </w:t>
      </w:r>
      <w:r w:rsidRPr="00375FFD">
        <w:rPr>
          <w:rFonts w:ascii="Verdana" w:hAnsi="Verdana" w:cs="Arial"/>
          <w:color w:val="000000" w:themeColor="text1"/>
          <w:kern w:val="0"/>
          <w:sz w:val="18"/>
          <w:szCs w:val="18"/>
        </w:rPr>
        <w:t xml:space="preserve">in accordance with </w:t>
      </w:r>
      <w:r w:rsidR="007A1216" w:rsidRPr="00375FFD">
        <w:rPr>
          <w:rFonts w:ascii="Verdana" w:hAnsi="Verdana" w:cs="Arial"/>
          <w:color w:val="000000" w:themeColor="text1"/>
          <w:kern w:val="0"/>
          <w:sz w:val="18"/>
          <w:szCs w:val="18"/>
        </w:rPr>
        <w:t xml:space="preserve">CA 13.02(a), </w:t>
      </w:r>
      <w:r w:rsidR="000C2E17">
        <w:rPr>
          <w:rFonts w:ascii="Verdana" w:hAnsi="Verdana" w:cs="Arial"/>
          <w:color w:val="000000" w:themeColor="text1"/>
          <w:kern w:val="0"/>
          <w:sz w:val="18"/>
          <w:szCs w:val="18"/>
        </w:rPr>
        <w:t xml:space="preserve">Appendix </w:t>
      </w:r>
      <w:proofErr w:type="spellStart"/>
      <w:r w:rsidR="000C2E17">
        <w:rPr>
          <w:rFonts w:ascii="Verdana" w:hAnsi="Verdana" w:cs="Arial"/>
          <w:color w:val="000000" w:themeColor="text1"/>
          <w:kern w:val="0"/>
          <w:sz w:val="18"/>
          <w:szCs w:val="18"/>
        </w:rPr>
        <w:t>A</w:t>
      </w:r>
      <w:proofErr w:type="spellEnd"/>
      <w:r w:rsidR="000C2E17">
        <w:rPr>
          <w:rFonts w:ascii="Verdana" w:hAnsi="Verdana" w:cs="Arial"/>
          <w:color w:val="000000" w:themeColor="text1"/>
          <w:kern w:val="0"/>
          <w:sz w:val="18"/>
          <w:szCs w:val="18"/>
        </w:rPr>
        <w:t xml:space="preserve"> </w:t>
      </w:r>
      <w:r w:rsidRPr="00375FFD">
        <w:rPr>
          <w:rFonts w:ascii="Verdana" w:hAnsi="Verdana" w:cs="Arial"/>
          <w:color w:val="000000" w:themeColor="text1"/>
          <w:kern w:val="0"/>
          <w:sz w:val="18"/>
          <w:szCs w:val="18"/>
        </w:rPr>
        <w:t>Appointment Priority Policy</w:t>
      </w:r>
      <w:r w:rsidR="00EF6776">
        <w:rPr>
          <w:rFonts w:ascii="Verdana" w:hAnsi="Verdana" w:cs="Arial"/>
          <w:color w:val="000000" w:themeColor="text1"/>
          <w:kern w:val="0"/>
          <w:sz w:val="18"/>
          <w:szCs w:val="18"/>
        </w:rPr>
        <w:t xml:space="preserve"> - Variance 1</w:t>
      </w:r>
      <w:r w:rsidR="007A1216" w:rsidRPr="00375FFD">
        <w:rPr>
          <w:rFonts w:ascii="Verdana" w:hAnsi="Verdana" w:cs="Arial"/>
          <w:color w:val="000000" w:themeColor="text1"/>
          <w:kern w:val="0"/>
          <w:sz w:val="18"/>
          <w:szCs w:val="18"/>
        </w:rPr>
        <w:t>, and</w:t>
      </w:r>
      <w:r w:rsidRPr="00375FFD">
        <w:rPr>
          <w:rFonts w:ascii="Verdana" w:hAnsi="Verdana" w:cs="Arial"/>
          <w:color w:val="000000" w:themeColor="text1"/>
          <w:kern w:val="0"/>
          <w:sz w:val="18"/>
          <w:szCs w:val="18"/>
        </w:rPr>
        <w:t xml:space="preserve"> LOU #TA</w:t>
      </w:r>
      <w:r w:rsidR="00466A71" w:rsidRPr="00375FFD">
        <w:rPr>
          <w:rFonts w:ascii="Verdana" w:hAnsi="Verdana" w:cs="Arial"/>
          <w:color w:val="000000" w:themeColor="text1"/>
          <w:kern w:val="0"/>
          <w:sz w:val="18"/>
          <w:szCs w:val="18"/>
        </w:rPr>
        <w:t>4</w:t>
      </w:r>
      <w:r w:rsidRPr="00375FFD">
        <w:rPr>
          <w:rFonts w:ascii="Verdana" w:hAnsi="Verdana" w:cs="Arial"/>
          <w:color w:val="000000" w:themeColor="text1"/>
          <w:kern w:val="0"/>
          <w:sz w:val="18"/>
          <w:szCs w:val="18"/>
        </w:rPr>
        <w:t>.</w:t>
      </w:r>
      <w:r w:rsidR="00BA6A2B" w:rsidRPr="00375FFD">
        <w:rPr>
          <w:rFonts w:ascii="Verdana" w:hAnsi="Verdana" w:cs="Arial"/>
          <w:color w:val="000000" w:themeColor="text1"/>
          <w:kern w:val="0"/>
          <w:sz w:val="18"/>
          <w:szCs w:val="18"/>
        </w:rPr>
        <w:t xml:space="preserve"> </w:t>
      </w:r>
      <w:r w:rsidR="00E56421" w:rsidRPr="00375FFD">
        <w:rPr>
          <w:rFonts w:ascii="Verdana" w:hAnsi="Verdana"/>
          <w:color w:val="000000" w:themeColor="text1"/>
          <w:sz w:val="18"/>
          <w:szCs w:val="18"/>
        </w:rPr>
        <w:t xml:space="preserve">Graduate students </w:t>
      </w:r>
      <w:r w:rsidR="0088358D" w:rsidRPr="00375FFD">
        <w:rPr>
          <w:rFonts w:ascii="Verdana" w:hAnsi="Verdana"/>
          <w:color w:val="000000" w:themeColor="text1"/>
          <w:sz w:val="18"/>
          <w:szCs w:val="18"/>
        </w:rPr>
        <w:t xml:space="preserve">and others </w:t>
      </w:r>
      <w:r w:rsidR="00E56421" w:rsidRPr="00375FFD">
        <w:rPr>
          <w:rFonts w:ascii="Verdana" w:hAnsi="Verdana"/>
          <w:color w:val="000000" w:themeColor="text1"/>
          <w:sz w:val="18"/>
          <w:szCs w:val="18"/>
        </w:rPr>
        <w:t xml:space="preserve">who wish to apply for any of the teaching assistant (TA) positions listed below must complete an application form </w:t>
      </w:r>
      <w:r w:rsidR="007B2F40" w:rsidRPr="00375FFD">
        <w:rPr>
          <w:rFonts w:ascii="Verdana" w:hAnsi="Verdana"/>
          <w:color w:val="000000" w:themeColor="text1"/>
          <w:sz w:val="18"/>
          <w:szCs w:val="18"/>
        </w:rPr>
        <w:t xml:space="preserve">and submit it to </w:t>
      </w:r>
      <w:r w:rsidR="00BA6A2B" w:rsidRPr="00375FFD">
        <w:rPr>
          <w:rFonts w:ascii="Verdana" w:hAnsi="Verdana" w:cs="Calibri"/>
          <w:color w:val="000000" w:themeColor="text1"/>
          <w:sz w:val="18"/>
          <w:szCs w:val="18"/>
        </w:rPr>
        <w:t xml:space="preserve">the Philosophy Graduate </w:t>
      </w:r>
      <w:r w:rsidR="008D4C4B">
        <w:rPr>
          <w:rFonts w:ascii="Verdana" w:hAnsi="Verdana" w:cs="Calibri"/>
          <w:color w:val="000000" w:themeColor="text1"/>
          <w:sz w:val="18"/>
          <w:szCs w:val="18"/>
        </w:rPr>
        <w:t>Coordinator</w:t>
      </w:r>
      <w:r w:rsidR="00BA6A2B" w:rsidRPr="00375FFD">
        <w:rPr>
          <w:rFonts w:ascii="Verdana" w:hAnsi="Verdana" w:cs="Calibri"/>
          <w:color w:val="000000" w:themeColor="text1"/>
          <w:sz w:val="18"/>
          <w:szCs w:val="18"/>
        </w:rPr>
        <w:t xml:space="preserve">: </w:t>
      </w:r>
      <w:hyperlink r:id="rId7" w:history="1">
        <w:r w:rsidR="008D4C4B">
          <w:rPr>
            <w:rStyle w:val="Hyperlink"/>
            <w:rFonts w:ascii="Verdana" w:hAnsi="Verdana" w:cs="Calibri"/>
            <w:sz w:val="18"/>
            <w:szCs w:val="18"/>
          </w:rPr>
          <w:t>katiestockdale@uvic.ca</w:t>
        </w:r>
      </w:hyperlink>
      <w:r w:rsidR="00BA6A2B" w:rsidRPr="00BA6A2B">
        <w:rPr>
          <w:rFonts w:ascii="Verdana" w:hAnsi="Verdana" w:cs="Calibri"/>
          <w:sz w:val="18"/>
          <w:szCs w:val="18"/>
        </w:rPr>
        <w:t>.</w:t>
      </w:r>
      <w:r w:rsidR="00BA6A2B">
        <w:rPr>
          <w:rFonts w:ascii="Verdana" w:hAnsi="Verdana" w:cs="Calibri"/>
          <w:sz w:val="18"/>
          <w:szCs w:val="18"/>
        </w:rPr>
        <w:t xml:space="preserve"> </w:t>
      </w:r>
    </w:p>
    <w:p w14:paraId="2D1092FD" w14:textId="77777777" w:rsidR="008D4C4B" w:rsidRDefault="008D4C4B" w:rsidP="00BA6A2B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12FAD803" w14:textId="77777777" w:rsidR="00E56421" w:rsidRPr="00DC7A5B" w:rsidRDefault="00E56421" w:rsidP="00E56421">
      <w:pPr>
        <w:spacing w:beforeAutospacing="1" w:afterAutospacing="1"/>
        <w:textAlignment w:val="baseline"/>
        <w:outlineLvl w:val="1"/>
        <w:rPr>
          <w:rFonts w:ascii="Verdana" w:eastAsia="Times New Roman" w:hAnsi="Verdana" w:cs="Arial"/>
          <w:b/>
          <w:bCs/>
          <w:color w:val="000000"/>
          <w:kern w:val="0"/>
          <w:sz w:val="32"/>
          <w:szCs w:val="32"/>
          <w14:ligatures w14:val="none"/>
        </w:rPr>
      </w:pPr>
      <w:bookmarkStart w:id="0" w:name="important_information"/>
      <w:bookmarkEnd w:id="0"/>
      <w:r w:rsidRPr="00DC7A5B">
        <w:rPr>
          <w:rFonts w:ascii="Verdana" w:eastAsia="Times New Roman" w:hAnsi="Verdana" w:cs="Arial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Important information</w:t>
      </w:r>
    </w:p>
    <w:p w14:paraId="3C3DAC81" w14:textId="43F31D80" w:rsidR="00E56421" w:rsidRPr="008C40B5" w:rsidRDefault="00E56421" w:rsidP="00E56421">
      <w:pPr>
        <w:spacing w:before="100" w:beforeAutospacing="1" w:after="100" w:afterAutospacing="1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</w:pPr>
      <w:r w:rsidRPr="008C40B5"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  <w:t>Deadline</w:t>
      </w:r>
      <w:r w:rsidR="00201046" w:rsidRPr="008C40B5"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  <w:t>s</w:t>
      </w:r>
    </w:p>
    <w:p w14:paraId="0517785C" w14:textId="14ED530E" w:rsidR="00EF6776" w:rsidRDefault="00E56421" w:rsidP="003E6BFD">
      <w:pPr>
        <w:autoSpaceDE w:val="0"/>
        <w:autoSpaceDN w:val="0"/>
        <w:adjustRightInd w:val="0"/>
        <w:rPr>
          <w:rFonts w:ascii="Verdana" w:hAnsi="Verdana" w:cs="Arial"/>
          <w:color w:val="000000" w:themeColor="text1"/>
          <w:kern w:val="0"/>
          <w:sz w:val="18"/>
          <w:szCs w:val="18"/>
        </w:rPr>
      </w:pPr>
      <w:r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To ensure full consideration</w:t>
      </w:r>
      <w:r w:rsidR="00F3133A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for a </w:t>
      </w:r>
      <w:proofErr w:type="gramStart"/>
      <w:r w:rsidR="008D4C4B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Summer</w:t>
      </w:r>
      <w:proofErr w:type="gramEnd"/>
      <w:r w:rsidR="008D4C4B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="00F3133A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appointment</w:t>
      </w:r>
      <w:r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, </w:t>
      </w:r>
      <w:r w:rsidR="009B6057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</w:t>
      </w:r>
      <w:r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completed application </w:t>
      </w:r>
      <w:r w:rsidR="00F3133A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must </w:t>
      </w:r>
      <w:r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be received by</w:t>
      </w:r>
      <w:r w:rsidR="00AD2A79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="00490459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April </w:t>
      </w:r>
      <w:r w:rsidR="00AD2A79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1, </w:t>
      </w:r>
      <w:r w:rsidR="008D4C4B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2025</w:t>
      </w:r>
      <w:r w:rsidR="00AD2A79"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.</w:t>
      </w:r>
      <w:r w:rsidRPr="008C40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 </w:t>
      </w:r>
      <w:r w:rsidR="003E6BFD" w:rsidRPr="008C40B5">
        <w:rPr>
          <w:rFonts w:ascii="Verdana" w:hAnsi="Verdana" w:cs="Arial"/>
          <w:color w:val="000000" w:themeColor="text1"/>
          <w:kern w:val="0"/>
          <w:sz w:val="18"/>
          <w:szCs w:val="18"/>
        </w:rPr>
        <w:t xml:space="preserve">Late applicants will lose their priority ranking under the </w:t>
      </w:r>
      <w:r w:rsidR="00E70E79" w:rsidRPr="008C40B5">
        <w:rPr>
          <w:rFonts w:ascii="Verdana" w:hAnsi="Verdana" w:cs="Arial"/>
          <w:color w:val="000000" w:themeColor="text1"/>
          <w:kern w:val="0"/>
          <w:sz w:val="18"/>
          <w:szCs w:val="18"/>
        </w:rPr>
        <w:t>D</w:t>
      </w:r>
      <w:r w:rsidR="003E6BFD" w:rsidRPr="008C40B5">
        <w:rPr>
          <w:rFonts w:ascii="Verdana" w:hAnsi="Verdana" w:cs="Arial"/>
          <w:color w:val="000000" w:themeColor="text1"/>
          <w:kern w:val="0"/>
          <w:sz w:val="18"/>
          <w:szCs w:val="18"/>
        </w:rPr>
        <w:t>epartment’s Appointment Priority Policy.</w:t>
      </w:r>
    </w:p>
    <w:p w14:paraId="2555E920" w14:textId="77777777" w:rsidR="00EF6776" w:rsidRPr="00375FFD" w:rsidRDefault="00EF6776" w:rsidP="003E6BFD">
      <w:pPr>
        <w:autoSpaceDE w:val="0"/>
        <w:autoSpaceDN w:val="0"/>
        <w:adjustRightInd w:val="0"/>
        <w:rPr>
          <w:rFonts w:ascii="Verdana" w:hAnsi="Verdana" w:cs="Arial"/>
          <w:color w:val="000000" w:themeColor="text1"/>
          <w:kern w:val="0"/>
          <w:sz w:val="18"/>
          <w:szCs w:val="18"/>
        </w:rPr>
      </w:pPr>
    </w:p>
    <w:p w14:paraId="3EBA0AB5" w14:textId="49457BD4" w:rsidR="004E307B" w:rsidRPr="00384EF0" w:rsidRDefault="00CF4B20" w:rsidP="008D4C4B">
      <w:pPr>
        <w:autoSpaceDE w:val="0"/>
        <w:autoSpaceDN w:val="0"/>
        <w:adjustRightInd w:val="0"/>
        <w:rPr>
          <w:rFonts w:ascii="Verdana" w:hAnsi="Verdana"/>
          <w:color w:val="000000" w:themeColor="text1"/>
          <w:sz w:val="18"/>
          <w:szCs w:val="18"/>
        </w:rPr>
      </w:pPr>
      <w:r w:rsidRPr="00384EF0">
        <w:rPr>
          <w:rFonts w:ascii="Verdana" w:hAnsi="Verdana"/>
          <w:color w:val="000000" w:themeColor="text1"/>
          <w:sz w:val="18"/>
          <w:szCs w:val="18"/>
        </w:rPr>
        <w:t xml:space="preserve">Every effort will be made to finalize appointments prior to the commencement of the relevant academic term. Normally, appointment </w:t>
      </w:r>
      <w:r w:rsidR="008E5247" w:rsidRPr="00384EF0">
        <w:rPr>
          <w:rFonts w:ascii="Verdana" w:hAnsi="Verdana"/>
          <w:color w:val="000000" w:themeColor="text1"/>
          <w:sz w:val="18"/>
          <w:szCs w:val="18"/>
        </w:rPr>
        <w:t xml:space="preserve">decisions </w:t>
      </w:r>
      <w:r w:rsidRPr="00384EF0">
        <w:rPr>
          <w:rFonts w:ascii="Verdana" w:hAnsi="Verdana"/>
          <w:color w:val="000000" w:themeColor="text1"/>
          <w:sz w:val="18"/>
          <w:szCs w:val="18"/>
        </w:rPr>
        <w:t xml:space="preserve">are </w:t>
      </w:r>
      <w:r w:rsidR="008E5247" w:rsidRPr="00384EF0">
        <w:rPr>
          <w:rFonts w:ascii="Verdana" w:hAnsi="Verdana"/>
          <w:color w:val="000000" w:themeColor="text1"/>
          <w:sz w:val="18"/>
          <w:szCs w:val="18"/>
        </w:rPr>
        <w:t>made</w:t>
      </w:r>
      <w:r w:rsidRPr="00384EF0">
        <w:rPr>
          <w:rFonts w:ascii="Verdana" w:hAnsi="Verdana"/>
          <w:color w:val="000000" w:themeColor="text1"/>
          <w:sz w:val="18"/>
          <w:szCs w:val="18"/>
        </w:rPr>
        <w:t xml:space="preserve"> by</w:t>
      </w:r>
      <w:r w:rsidR="00360555" w:rsidRPr="00384EF0">
        <w:rPr>
          <w:rFonts w:ascii="Verdana" w:hAnsi="Verdana"/>
          <w:color w:val="000000" w:themeColor="text1"/>
          <w:sz w:val="18"/>
          <w:szCs w:val="18"/>
        </w:rPr>
        <w:t xml:space="preserve"> one week before the start of a given term.</w:t>
      </w:r>
      <w:r w:rsidR="008E5247" w:rsidRPr="00384EF0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0D2345DF" w14:textId="100E4B1F" w:rsidR="00CF4B20" w:rsidRPr="00384EF0" w:rsidRDefault="00CF4B20" w:rsidP="004E307B">
      <w:pPr>
        <w:spacing w:beforeAutospacing="1" w:afterAutospacing="1"/>
        <w:textAlignment w:val="baseline"/>
        <w:rPr>
          <w:rFonts w:ascii="Verdana" w:hAnsi="Verdana"/>
          <w:color w:val="000000" w:themeColor="text1"/>
          <w:sz w:val="18"/>
          <w:szCs w:val="18"/>
        </w:rPr>
      </w:pPr>
      <w:proofErr w:type="gramStart"/>
      <w:r w:rsidRPr="00384EF0">
        <w:rPr>
          <w:rFonts w:ascii="Verdana" w:hAnsi="Verdana"/>
          <w:color w:val="000000" w:themeColor="text1"/>
          <w:sz w:val="18"/>
          <w:szCs w:val="18"/>
        </w:rPr>
        <w:t>Submitting an application</w:t>
      </w:r>
      <w:proofErr w:type="gramEnd"/>
      <w:r w:rsidRPr="00384EF0">
        <w:rPr>
          <w:rFonts w:ascii="Verdana" w:hAnsi="Verdana"/>
          <w:color w:val="000000" w:themeColor="text1"/>
          <w:sz w:val="18"/>
          <w:szCs w:val="18"/>
        </w:rPr>
        <w:t xml:space="preserve"> does not ensure employment.</w:t>
      </w:r>
    </w:p>
    <w:p w14:paraId="629F0962" w14:textId="77777777" w:rsidR="00E56421" w:rsidRPr="00DC7A5B" w:rsidRDefault="00E56421" w:rsidP="00E56421">
      <w:pPr>
        <w:spacing w:before="100" w:beforeAutospacing="1" w:after="100" w:afterAutospacing="1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</w:pPr>
      <w:r w:rsidRPr="00DC7A5B"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  <w:t>Required qualifications and experience</w:t>
      </w:r>
    </w:p>
    <w:p w14:paraId="0A37E226" w14:textId="21A13460" w:rsidR="00E56421" w:rsidRPr="00025B4B" w:rsidRDefault="009B6057" w:rsidP="00E56421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</w:pP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Successful applicants will normally p</w:t>
      </w:r>
      <w:r w:rsidR="00E56421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ossess an undergraduate degree in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Philosophy.</w:t>
      </w:r>
    </w:p>
    <w:p w14:paraId="07D1B121" w14:textId="6E901A57" w:rsidR="00BD4093" w:rsidRPr="00025B4B" w:rsidRDefault="009B6057" w:rsidP="00E56421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</w:pP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As per Appendix A, </w:t>
      </w:r>
      <w:proofErr w:type="gramStart"/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first priority</w:t>
      </w:r>
      <w:proofErr w:type="gramEnd"/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will be given to </w:t>
      </w:r>
      <w:r w:rsidR="00D51EFC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applicants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registered as a </w:t>
      </w:r>
      <w:proofErr w:type="gramStart"/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Masters</w:t>
      </w:r>
      <w:proofErr w:type="gramEnd"/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="00E56421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or PhD student in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Philosophy </w:t>
      </w:r>
      <w:r w:rsidR="00E56421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at the University of Victoria</w:t>
      </w:r>
      <w:r w:rsidR="00BD4093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.</w:t>
      </w:r>
    </w:p>
    <w:p w14:paraId="38953B7A" w14:textId="0827256A" w:rsidR="00BD4093" w:rsidRPr="00025B4B" w:rsidRDefault="00BD4093" w:rsidP="005F7FAB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</w:pPr>
      <w:r w:rsidRPr="00025B4B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 xml:space="preserve">The assignment of a successful applicant </w:t>
      </w:r>
      <w:proofErr w:type="gramStart"/>
      <w:r w:rsidRPr="00025B4B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>to</w:t>
      </w:r>
      <w:proofErr w:type="gramEnd"/>
      <w:r w:rsidRPr="00025B4B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 xml:space="preserve"> a specific course will </w:t>
      </w:r>
      <w:proofErr w:type="gramStart"/>
      <w:r w:rsidRPr="00025B4B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>take into account</w:t>
      </w:r>
      <w:proofErr w:type="gramEnd"/>
      <w:r w:rsidRPr="00025B4B">
        <w:rPr>
          <w:rFonts w:ascii="Verdana" w:eastAsia="Times New Roman" w:hAnsi="Verdana" w:cs="Times New Roman"/>
          <w:color w:val="000000" w:themeColor="text1"/>
          <w:sz w:val="18"/>
          <w:szCs w:val="18"/>
          <w14:ligatures w14:val="none"/>
        </w:rPr>
        <w:t xml:space="preserve"> </w:t>
      </w:r>
      <w:r w:rsidRPr="00025B4B">
        <w:rPr>
          <w:rFonts w:ascii="Verdana" w:hAnsi="Verdana"/>
          <w:color w:val="000000" w:themeColor="text1"/>
          <w:sz w:val="18"/>
          <w:szCs w:val="18"/>
        </w:rPr>
        <w:t xml:space="preserve">the qualifications and ability of the candidate based on academic merit and related experience (see </w:t>
      </w:r>
      <w:r w:rsidR="002A7A01" w:rsidRPr="00025B4B">
        <w:rPr>
          <w:rFonts w:ascii="Verdana" w:hAnsi="Verdana"/>
          <w:color w:val="000000" w:themeColor="text1"/>
          <w:sz w:val="18"/>
          <w:szCs w:val="18"/>
        </w:rPr>
        <w:t>‘</w:t>
      </w:r>
      <w:r w:rsidRPr="00025B4B">
        <w:rPr>
          <w:rFonts w:ascii="Verdana" w:hAnsi="Verdana"/>
          <w:color w:val="000000" w:themeColor="text1"/>
          <w:sz w:val="18"/>
          <w:szCs w:val="18"/>
        </w:rPr>
        <w:t xml:space="preserve">Appointment Selection’ below). </w:t>
      </w:r>
    </w:p>
    <w:p w14:paraId="7915F122" w14:textId="77777777" w:rsidR="00E56421" w:rsidRPr="00DC7A5B" w:rsidRDefault="00E56421" w:rsidP="005F7FAB">
      <w:pPr>
        <w:spacing w:before="100" w:beforeAutospacing="1" w:after="100" w:afterAutospacing="1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</w:pPr>
      <w:r w:rsidRPr="00DC7A5B"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  <w:t>Summary of duties and responsibilities</w:t>
      </w:r>
    </w:p>
    <w:p w14:paraId="59D091FF" w14:textId="44E94719" w:rsidR="00E56421" w:rsidRPr="00DC7A5B" w:rsidRDefault="00E56421" w:rsidP="00E56421">
      <w:pPr>
        <w:spacing w:beforeAutospacing="1" w:afterAutospacing="1"/>
        <w:textAlignment w:val="baseline"/>
        <w:rPr>
          <w:rFonts w:ascii="Verdana" w:eastAsia="Times New Roman" w:hAnsi="Verdana" w:cs="Times New Roman"/>
          <w:color w:val="333333"/>
          <w:kern w:val="0"/>
          <w:sz w:val="18"/>
          <w:szCs w:val="18"/>
          <w14:ligatures w14:val="none"/>
        </w:rPr>
      </w:pP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Under the supervision of the course instructor, </w:t>
      </w:r>
      <w:r w:rsidR="00461F8D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 Teaching Assi</w:t>
      </w:r>
      <w:r w:rsidR="00427D4E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s</w:t>
      </w:r>
      <w:r w:rsidR="00461F8D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tant will normally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perform </w:t>
      </w:r>
      <w:r w:rsidR="00461F8D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some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combination of the following </w:t>
      </w:r>
      <w:r w:rsidR="00461F8D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types of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duties: marking </w:t>
      </w:r>
      <w:r w:rsidR="008E5247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assignments (papers, exams,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quizzes</w:t>
      </w:r>
      <w:r w:rsidR="008E5247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)</w:t>
      </w:r>
      <w:r w:rsidR="00461F8D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,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recording grades, </w:t>
      </w:r>
      <w:r w:rsidR="00461F8D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attending orientation/training session, holding office hours</w:t>
      </w:r>
      <w:r w:rsidR="004E307B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or review sessions</w:t>
      </w:r>
      <w:r w:rsidR="00461F8D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with students. </w:t>
      </w:r>
      <w:r w:rsidR="006A7CEA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In </w:t>
      </w:r>
      <w:r w:rsidR="00CF4B20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many</w:t>
      </w:r>
      <w:r w:rsidR="006A7CEA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cases, t</w:t>
      </w:r>
      <w:r w:rsidR="004E13D0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eaching assistants are assigned </w:t>
      </w:r>
      <w:r w:rsidR="006A7CEA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duties for more than one course or course section</w:t>
      </w:r>
      <w:r w:rsidR="00E70E79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per term</w:t>
      </w:r>
      <w:r w:rsidR="006A7CEA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. </w:t>
      </w:r>
      <w:r w:rsidR="00CF4B20" w:rsidRPr="00025B4B">
        <w:rPr>
          <w:rFonts w:ascii="Verdana" w:hAnsi="Verdana"/>
          <w:color w:val="000000" w:themeColor="text1"/>
          <w:sz w:val="18"/>
          <w:szCs w:val="18"/>
        </w:rPr>
        <w:t xml:space="preserve">For each term, the appointment will begin in the first week of </w:t>
      </w:r>
      <w:proofErr w:type="gramStart"/>
      <w:r w:rsidR="00CF4B20" w:rsidRPr="00025B4B">
        <w:rPr>
          <w:rFonts w:ascii="Verdana" w:hAnsi="Verdana"/>
          <w:color w:val="000000" w:themeColor="text1"/>
          <w:sz w:val="18"/>
          <w:szCs w:val="18"/>
        </w:rPr>
        <w:t>classes, and</w:t>
      </w:r>
      <w:proofErr w:type="gramEnd"/>
      <w:r w:rsidR="00CF4B20" w:rsidRPr="00025B4B">
        <w:rPr>
          <w:rFonts w:ascii="Verdana" w:hAnsi="Verdana"/>
          <w:color w:val="000000" w:themeColor="text1"/>
          <w:sz w:val="18"/>
          <w:szCs w:val="18"/>
        </w:rPr>
        <w:t xml:space="preserve"> will </w:t>
      </w:r>
      <w:proofErr w:type="gramStart"/>
      <w:r w:rsidR="00CF4B20" w:rsidRPr="00025B4B">
        <w:rPr>
          <w:rFonts w:ascii="Verdana" w:hAnsi="Verdana"/>
          <w:color w:val="000000" w:themeColor="text1"/>
          <w:sz w:val="18"/>
          <w:szCs w:val="18"/>
        </w:rPr>
        <w:t>conclude</w:t>
      </w:r>
      <w:proofErr w:type="gramEnd"/>
      <w:r w:rsidR="00CF4B20" w:rsidRPr="00025B4B">
        <w:rPr>
          <w:rFonts w:ascii="Verdana" w:hAnsi="Verdana"/>
          <w:color w:val="000000" w:themeColor="text1"/>
          <w:sz w:val="18"/>
          <w:szCs w:val="18"/>
        </w:rPr>
        <w:t xml:space="preserve"> by the end of the first week after the final exam period finishes.</w:t>
      </w:r>
      <w:r w:rsidR="00CF4B20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="00427D4E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T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he UVic</w:t>
      </w:r>
      <w:r w:rsidR="00B364D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hyperlink r:id="rId8" w:history="1">
        <w:r w:rsidR="00B364DB" w:rsidRPr="00B364DB">
          <w:rPr>
            <w:rStyle w:val="Hyperlink"/>
            <w:rFonts w:ascii="Verdana" w:eastAsia="Times New Roman" w:hAnsi="Verdana" w:cs="Times New Roman"/>
            <w:kern w:val="0"/>
            <w:sz w:val="18"/>
            <w:szCs w:val="18"/>
            <w14:ligatures w14:val="none"/>
          </w:rPr>
          <w:t>TA Guide</w:t>
        </w:r>
      </w:hyperlink>
      <w:r w:rsidR="00CD3B47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="00427D4E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provides an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overview of the responsibilit</w:t>
      </w:r>
      <w:r w:rsidR="00427D4E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ies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of being a TA. </w:t>
      </w:r>
      <w:r w:rsidR="008E5247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M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ore TA support </w:t>
      </w:r>
      <w:r w:rsidRPr="00CD3B4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and resources</w:t>
      </w:r>
      <w:r w:rsidR="008E5247" w:rsidRPr="00CD3B4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are available at</w:t>
      </w:r>
      <w:r w:rsidR="00CD3B4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hyperlink r:id="rId9" w:history="1">
        <w:r w:rsidR="00CD3B47" w:rsidRPr="00CD3B47">
          <w:rPr>
            <w:rStyle w:val="Hyperlink"/>
            <w:rFonts w:ascii="Verdana" w:eastAsia="Times New Roman" w:hAnsi="Verdana" w:cs="Times New Roman"/>
            <w:kern w:val="0"/>
            <w:sz w:val="18"/>
            <w:szCs w:val="18"/>
            <w14:ligatures w14:val="none"/>
          </w:rPr>
          <w:t>UVic Teach Anywhere</w:t>
        </w:r>
      </w:hyperlink>
      <w:r w:rsidRPr="00CD3B4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.</w:t>
      </w:r>
    </w:p>
    <w:p w14:paraId="317DCC2A" w14:textId="77777777" w:rsidR="00E56421" w:rsidRPr="00DC7A5B" w:rsidRDefault="00E56421" w:rsidP="00E56421">
      <w:pPr>
        <w:spacing w:before="100" w:beforeAutospacing="1" w:after="100" w:afterAutospacing="1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</w:pPr>
      <w:r w:rsidRPr="00DC7A5B"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  <w:t>Rate</w:t>
      </w:r>
    </w:p>
    <w:p w14:paraId="420E29A5" w14:textId="0C003AF4" w:rsidR="00E56421" w:rsidRPr="00DC7A5B" w:rsidRDefault="002A7A01" w:rsidP="00E56421">
      <w:p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333333"/>
          <w:kern w:val="0"/>
          <w:sz w:val="18"/>
          <w:szCs w:val="18"/>
          <w14:ligatures w14:val="none"/>
        </w:rPr>
      </w:pPr>
      <w:r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Effective Sept. 1</w:t>
      </w:r>
      <w:proofErr w:type="gramStart"/>
      <w:r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2024</w:t>
      </w:r>
      <w:proofErr w:type="gramEnd"/>
      <w:r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, t</w:t>
      </w:r>
      <w:r w:rsidR="00E56421"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he hourly rate </w:t>
      </w:r>
      <w:r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for </w:t>
      </w:r>
      <w:r w:rsidRPr="00375FFD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CUPE Local 4163 - Components 1 and 2, Senior Assistants,</w:t>
      </w:r>
      <w:r w:rsidRPr="00375FFD"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FFFFF"/>
        </w:rPr>
        <w:t> </w:t>
      </w:r>
      <w:r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will be</w:t>
      </w:r>
      <w:r w:rsidR="0058129C" w:rsidRPr="0058129C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$34.72 + 4% vacation pay per hour</w:t>
      </w:r>
      <w:r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. Salary schedules are posted </w:t>
      </w:r>
      <w:hyperlink r:id="rId10" w:history="1">
        <w:r w:rsidRPr="00DC7A5B">
          <w:rPr>
            <w:rStyle w:val="Hyperlink"/>
            <w:rFonts w:ascii="Verdana" w:eastAsia="Times New Roman" w:hAnsi="Verdana" w:cs="Times New Roman"/>
            <w:kern w:val="0"/>
            <w:sz w:val="18"/>
            <w:szCs w:val="18"/>
            <w14:ligatures w14:val="none"/>
          </w:rPr>
          <w:t>here</w:t>
        </w:r>
      </w:hyperlink>
      <w:r w:rsidRPr="00DC7A5B">
        <w:rPr>
          <w:rFonts w:ascii="Verdana" w:eastAsia="Times New Roman" w:hAnsi="Verdana" w:cs="Times New Roman"/>
          <w:color w:val="333333"/>
          <w:kern w:val="0"/>
          <w:sz w:val="18"/>
          <w:szCs w:val="18"/>
          <w14:ligatures w14:val="none"/>
        </w:rPr>
        <w:t>.</w:t>
      </w:r>
    </w:p>
    <w:p w14:paraId="73A4A6B9" w14:textId="77777777" w:rsidR="00E56421" w:rsidRPr="00DC7A5B" w:rsidRDefault="00E56421" w:rsidP="00E56421">
      <w:pPr>
        <w:spacing w:before="100" w:beforeAutospacing="1" w:after="100" w:afterAutospacing="1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</w:pPr>
      <w:r w:rsidRPr="00DC7A5B">
        <w:rPr>
          <w:rFonts w:ascii="Verdana" w:eastAsia="Times New Roman" w:hAnsi="Verdana" w:cs="Arial"/>
          <w:b/>
          <w:bCs/>
          <w:color w:val="000000"/>
          <w:kern w:val="0"/>
          <w:sz w:val="26"/>
          <w:szCs w:val="26"/>
          <w14:ligatures w14:val="none"/>
        </w:rPr>
        <w:lastRenderedPageBreak/>
        <w:t>Appointment selection</w:t>
      </w:r>
    </w:p>
    <w:p w14:paraId="3562BAE7" w14:textId="52A0B609" w:rsidR="008E5247" w:rsidRPr="00130BC7" w:rsidRDefault="00E56421" w:rsidP="008E5247">
      <w:pPr>
        <w:spacing w:beforeAutospacing="1" w:afterAutospacing="1"/>
        <w:textAlignment w:val="baseline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 w:rsidRPr="00130BC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Appointments will be made in accordance with article 13.02 (appointment procedures) and </w:t>
      </w:r>
      <w:r w:rsidR="00E52CDD" w:rsidRPr="00130BC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</w:t>
      </w:r>
      <w:r w:rsidRPr="00130BC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ppendix </w:t>
      </w:r>
      <w:proofErr w:type="spellStart"/>
      <w:r w:rsidRPr="00130BC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</w:t>
      </w:r>
      <w:proofErr w:type="spellEnd"/>
      <w:r w:rsidRPr="00130BC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="00EF6776" w:rsidRPr="008D4C4B">
        <w:rPr>
          <w:rFonts w:ascii="Verdana" w:hAnsi="Verdana"/>
          <w:sz w:val="18"/>
          <w:szCs w:val="18"/>
        </w:rPr>
        <w:t>Appointment Priority Policy</w:t>
      </w:r>
      <w:r w:rsidR="00EF6776" w:rsidRPr="008D4C4B">
        <w:rPr>
          <w:rFonts w:ascii="Verdana" w:hAnsi="Verdana"/>
          <w:b/>
          <w:bCs/>
          <w:sz w:val="18"/>
          <w:szCs w:val="18"/>
        </w:rPr>
        <w:t xml:space="preserve"> </w:t>
      </w:r>
      <w:r w:rsidR="00EF6776" w:rsidRPr="00EF6776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- Variance 1 </w:t>
      </w:r>
      <w:r w:rsidRPr="00EF6776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of the</w:t>
      </w:r>
      <w:r w:rsidR="00195A66" w:rsidRPr="00EF6776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hyperlink r:id="rId11" w:history="1">
        <w:r w:rsidR="00195A66" w:rsidRPr="00EF6776">
          <w:rPr>
            <w:rStyle w:val="Hyperlink"/>
            <w:rFonts w:ascii="Verdana" w:hAnsi="Verdana"/>
            <w:sz w:val="18"/>
            <w:szCs w:val="18"/>
          </w:rPr>
          <w:t>Collective Agreement for CUPE Local 4163 (1 and 2).</w:t>
        </w:r>
      </w:hyperlink>
      <w:r w:rsidR="006B037B" w:rsidRPr="00EF6776">
        <w:rPr>
          <w:rFonts w:ascii="Verdana" w:hAnsi="Verdana"/>
          <w:color w:val="333333"/>
          <w:sz w:val="18"/>
          <w:szCs w:val="18"/>
        </w:rPr>
        <w:t xml:space="preserve"> </w:t>
      </w:r>
      <w:r w:rsidRPr="00EF6776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Selection criteria include: qualifications and ability based on academic merit and related experience, the career and/or pedagogical value that</w:t>
      </w:r>
      <w:r w:rsidRPr="00130BC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the experience in a particular position will provide the student, the student's preferences, and other sources of graduate student financial support being received.</w:t>
      </w:r>
    </w:p>
    <w:p w14:paraId="09B85CBF" w14:textId="639AE90C" w:rsidR="008E5247" w:rsidRPr="00DC7A5B" w:rsidRDefault="008E5247" w:rsidP="005F7FAB">
      <w:pPr>
        <w:spacing w:beforeAutospacing="1" w:afterAutospacing="1"/>
        <w:textAlignment w:val="baseline"/>
        <w:rPr>
          <w:rFonts w:ascii="Verdana" w:eastAsia="Times New Roman" w:hAnsi="Verdana" w:cs="Times New Roman"/>
          <w:color w:val="333333"/>
          <w:kern w:val="0"/>
          <w:sz w:val="18"/>
          <w:szCs w:val="18"/>
          <w14:ligatures w14:val="none"/>
        </w:rPr>
      </w:pPr>
      <w:r w:rsidRPr="00130BC7">
        <w:rPr>
          <w:rFonts w:ascii="Verdana" w:hAnsi="Verdana" w:cs="Arial"/>
          <w:color w:val="000000" w:themeColor="text1"/>
          <w:kern w:val="0"/>
          <w:sz w:val="18"/>
          <w:szCs w:val="18"/>
        </w:rPr>
        <w:t>The University of Victoria</w:t>
      </w:r>
      <w:r w:rsidRPr="00130BC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Pr="00130BC7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is committed to upholding the values of equity, diversity, and inclusion in our living, learning and work </w:t>
      </w:r>
      <w:r w:rsidRPr="00E70E7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environments. In pursuit of our values, we seek members who will work respectfully and constructively with differences and across levels of power. We actively encourage applications from members of</w:t>
      </w:r>
      <w:r w:rsidRPr="00E70E79"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FFFFF"/>
        </w:rPr>
        <w:t> </w:t>
      </w:r>
      <w:r w:rsidR="00AA306B" w:rsidRPr="00E70E7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groups experiencing barriers to equity.</w:t>
      </w:r>
      <w:r w:rsidRPr="00E70E79"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 (UVic’s </w:t>
      </w:r>
      <w:r w:rsidRPr="00130BC7"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full </w:t>
      </w:r>
      <w:r w:rsidRPr="00130BC7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equity statement is </w:t>
      </w:r>
      <w:r w:rsidR="00E52CDD" w:rsidRPr="00130BC7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available </w:t>
      </w:r>
      <w:hyperlink r:id="rId12" w:history="1">
        <w:r w:rsidRPr="00DC7A5B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here</w:t>
        </w:r>
      </w:hyperlink>
      <w:r w:rsidRPr="00DC7A5B">
        <w:rPr>
          <w:rFonts w:ascii="Verdana" w:hAnsi="Verdana"/>
          <w:color w:val="333333"/>
          <w:sz w:val="18"/>
          <w:szCs w:val="18"/>
          <w:shd w:val="clear" w:color="auto" w:fill="FFFFFF"/>
        </w:rPr>
        <w:t>.)</w:t>
      </w:r>
      <w:r w:rsidRPr="00DC7A5B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DC7A5B">
        <w:rPr>
          <w:rFonts w:ascii="Verdana" w:eastAsia="Times New Roman" w:hAnsi="Verdana" w:cs="Times New Roman"/>
          <w:color w:val="333333"/>
          <w:kern w:val="0"/>
          <w:sz w:val="18"/>
          <w:szCs w:val="18"/>
          <w14:ligatures w14:val="none"/>
        </w:rPr>
        <w:t xml:space="preserve"> </w:t>
      </w:r>
    </w:p>
    <w:p w14:paraId="0F55A74F" w14:textId="0F4CC6C9" w:rsidR="00E56421" w:rsidRPr="00384EF0" w:rsidRDefault="008E5247" w:rsidP="00E56421">
      <w:p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</w:pPr>
      <w:r w:rsidRPr="00384EF0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The n</w:t>
      </w:r>
      <w:r w:rsidR="00E56421" w:rsidRPr="00384EF0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umber </w:t>
      </w:r>
      <w:r w:rsidRPr="00384EF0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and specific nature </w:t>
      </w:r>
      <w:r w:rsidR="00E56421" w:rsidRPr="00384EF0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of available positions </w:t>
      </w:r>
      <w:r w:rsidRPr="00384EF0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are</w:t>
      </w:r>
      <w:r w:rsidR="00E56421" w:rsidRPr="00384EF0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subject to funding availability, enrollment and/or course cancellation.</w:t>
      </w:r>
    </w:p>
    <w:p w14:paraId="64002D3B" w14:textId="77777777" w:rsidR="00E56421" w:rsidRPr="00DC7A5B" w:rsidRDefault="00E56421" w:rsidP="00E56421">
      <w:pPr>
        <w:spacing w:before="100" w:beforeAutospacing="1" w:after="100" w:afterAutospacing="1"/>
        <w:textAlignment w:val="baseline"/>
        <w:outlineLvl w:val="1"/>
        <w:rPr>
          <w:rFonts w:ascii="Verdana" w:eastAsia="Times New Roman" w:hAnsi="Verdana" w:cs="Arial"/>
          <w:b/>
          <w:bCs/>
          <w:color w:val="000000"/>
          <w:kern w:val="0"/>
          <w:sz w:val="32"/>
          <w:szCs w:val="32"/>
          <w14:ligatures w14:val="none"/>
        </w:rPr>
      </w:pPr>
      <w:bookmarkStart w:id="1" w:name="available_positions"/>
      <w:bookmarkEnd w:id="1"/>
      <w:r w:rsidRPr="00DC7A5B">
        <w:rPr>
          <w:rFonts w:ascii="Verdana" w:eastAsia="Times New Roman" w:hAnsi="Verdana" w:cs="Arial"/>
          <w:b/>
          <w:bCs/>
          <w:color w:val="000000"/>
          <w:kern w:val="0"/>
          <w:sz w:val="32"/>
          <w:szCs w:val="32"/>
          <w14:ligatures w14:val="none"/>
        </w:rPr>
        <w:t>Available positions</w:t>
      </w:r>
    </w:p>
    <w:p w14:paraId="75D41EBA" w14:textId="37613F34" w:rsidR="00E56421" w:rsidRPr="00DC7A5B" w:rsidRDefault="00E56421" w:rsidP="00E56421">
      <w:pPr>
        <w:spacing w:beforeAutospacing="1" w:afterAutospacing="1"/>
        <w:textAlignment w:val="baseline"/>
        <w:rPr>
          <w:rFonts w:ascii="Verdana" w:eastAsia="Times New Roman" w:hAnsi="Verdana" w:cs="Times New Roman"/>
          <w:color w:val="333333"/>
          <w:kern w:val="0"/>
          <w:sz w:val="18"/>
          <w:szCs w:val="18"/>
          <w14:ligatures w14:val="none"/>
        </w:rPr>
      </w:pPr>
      <w:r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T</w:t>
      </w:r>
      <w:r w:rsidR="00C561E8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eaching Assistant positions for the following courses </w:t>
      </w:r>
      <w:r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are</w:t>
      </w:r>
      <w:r w:rsidR="00DA76AA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, at the time of posting, expected to be</w:t>
      </w:r>
      <w:r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available for</w:t>
      </w:r>
      <w:r w:rsidR="0088358D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="00EF6776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Summer</w:t>
      </w:r>
      <w:r w:rsidR="0088358D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2025</w:t>
      </w:r>
      <w:r w:rsidR="00E52CDD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.</w:t>
      </w:r>
      <w:r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The number </w:t>
      </w:r>
      <w:r w:rsidR="00B061BD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in </w:t>
      </w:r>
      <w:r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brackets </w:t>
      </w:r>
      <w:r w:rsidR="00B061BD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indicates approximately ho</w:t>
      </w:r>
      <w:r w:rsidR="00142C9C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w</w:t>
      </w:r>
      <w:r w:rsidR="00B061BD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many hours of TA work </w:t>
      </w:r>
      <w:r w:rsidR="002E5B5F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per term </w:t>
      </w:r>
      <w:r w:rsidR="00B061BD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are expected to be needed. </w:t>
      </w:r>
      <w:r w:rsidR="008B1245"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(Calendar descriptions are available </w:t>
      </w:r>
      <w:hyperlink r:id="rId13" w:anchor="/courses?group=Philosophy%20(PHIL)&amp;bc=true&amp;bcCurrent=Philosophy%20(PHIL)&amp;bcItemType=courses" w:history="1">
        <w:r w:rsidR="008B1245" w:rsidRPr="00DC7A5B">
          <w:rPr>
            <w:rStyle w:val="Hyperlink"/>
            <w:rFonts w:ascii="Verdana" w:eastAsia="Times New Roman" w:hAnsi="Verdana" w:cs="Times New Roman"/>
            <w:kern w:val="0"/>
            <w:sz w:val="18"/>
            <w:szCs w:val="18"/>
            <w14:ligatures w14:val="none"/>
          </w:rPr>
          <w:t>here</w:t>
        </w:r>
      </w:hyperlink>
      <w:r w:rsidR="008B1245" w:rsidRPr="00DC7A5B">
        <w:rPr>
          <w:rFonts w:ascii="Verdana" w:eastAsia="Times New Roman" w:hAnsi="Verdana" w:cs="Times New Roman"/>
          <w:color w:val="333333"/>
          <w:kern w:val="0"/>
          <w:sz w:val="18"/>
          <w:szCs w:val="18"/>
          <w14:ligatures w14:val="none"/>
        </w:rPr>
        <w:t>.)</w:t>
      </w:r>
    </w:p>
    <w:p w14:paraId="4C1E7844" w14:textId="6DB90676" w:rsidR="009A5F87" w:rsidRDefault="009A5F87" w:rsidP="005109B4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Helvetica"/>
          <w:kern w:val="0"/>
          <w:sz w:val="18"/>
          <w:szCs w:val="18"/>
        </w:rPr>
      </w:pPr>
      <w:r w:rsidRPr="00DC7A5B">
        <w:rPr>
          <w:rFonts w:ascii="Verdana" w:hAnsi="Verdana" w:cs="Helvetica"/>
          <w:kern w:val="0"/>
          <w:sz w:val="18"/>
          <w:szCs w:val="18"/>
        </w:rPr>
        <w:t>PHIL 201 A01 Critical Thinking</w:t>
      </w:r>
      <w:r w:rsidR="009D4B00">
        <w:rPr>
          <w:rFonts w:ascii="Verdana" w:hAnsi="Verdana" w:cs="Helvetica"/>
          <w:kern w:val="0"/>
          <w:sz w:val="18"/>
          <w:szCs w:val="18"/>
        </w:rPr>
        <w:t xml:space="preserve"> (2</w:t>
      </w:r>
      <w:r w:rsidR="009D4F79">
        <w:rPr>
          <w:rFonts w:ascii="Verdana" w:hAnsi="Verdana" w:cs="Helvetica"/>
          <w:kern w:val="0"/>
          <w:sz w:val="18"/>
          <w:szCs w:val="18"/>
        </w:rPr>
        <w:t>10</w:t>
      </w:r>
      <w:r w:rsidR="007A0D5C">
        <w:rPr>
          <w:rFonts w:ascii="Verdana" w:hAnsi="Verdana" w:cs="Helvetica"/>
          <w:kern w:val="0"/>
          <w:sz w:val="18"/>
          <w:szCs w:val="18"/>
        </w:rPr>
        <w:t>)</w:t>
      </w:r>
    </w:p>
    <w:p w14:paraId="5B705269" w14:textId="631E3808" w:rsidR="000C2E17" w:rsidRPr="00DC7A5B" w:rsidRDefault="000C2E17" w:rsidP="000C2E17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Helvetica"/>
          <w:kern w:val="0"/>
          <w:sz w:val="18"/>
          <w:szCs w:val="18"/>
        </w:rPr>
      </w:pPr>
      <w:r w:rsidRPr="00DC7A5B">
        <w:rPr>
          <w:rFonts w:ascii="Verdana" w:hAnsi="Verdana" w:cs="Helvetica"/>
          <w:kern w:val="0"/>
          <w:sz w:val="18"/>
          <w:szCs w:val="18"/>
        </w:rPr>
        <w:t>PHIL 337 A01 Ethics: Theory and Practice</w:t>
      </w:r>
      <w:r>
        <w:rPr>
          <w:rFonts w:ascii="Verdana" w:hAnsi="Verdana" w:cs="Helvetica"/>
          <w:kern w:val="0"/>
          <w:sz w:val="18"/>
          <w:szCs w:val="18"/>
        </w:rPr>
        <w:t xml:space="preserve"> (50)</w:t>
      </w:r>
    </w:p>
    <w:p w14:paraId="6F72E28D" w14:textId="55293A17" w:rsidR="00E30DF1" w:rsidRPr="00DC7A5B" w:rsidRDefault="007156CF" w:rsidP="008D4C4B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 w:val="18"/>
          <w:szCs w:val="18"/>
        </w:rPr>
      </w:pPr>
      <w:r>
        <w:rPr>
          <w:rFonts w:ascii="Verdana" w:hAnsi="Verdana" w:cs="Helvetica"/>
          <w:kern w:val="0"/>
          <w:sz w:val="18"/>
          <w:szCs w:val="18"/>
        </w:rPr>
        <w:t>ENGR 297 A01 Technology and Society</w:t>
      </w:r>
      <w:r w:rsidR="007A0D5C">
        <w:rPr>
          <w:rFonts w:ascii="Verdana" w:hAnsi="Verdana" w:cs="Helvetica"/>
          <w:kern w:val="0"/>
          <w:sz w:val="18"/>
          <w:szCs w:val="18"/>
        </w:rPr>
        <w:t xml:space="preserve"> </w:t>
      </w:r>
      <w:r w:rsidR="00655DD5">
        <w:rPr>
          <w:rFonts w:ascii="Verdana" w:hAnsi="Verdana" w:cs="Helvetica"/>
          <w:kern w:val="0"/>
          <w:sz w:val="18"/>
          <w:szCs w:val="18"/>
        </w:rPr>
        <w:t>(</w:t>
      </w:r>
      <w:r w:rsidR="00DE566E">
        <w:rPr>
          <w:rFonts w:ascii="Verdana" w:hAnsi="Verdana" w:cs="Helvetica"/>
          <w:kern w:val="0"/>
          <w:sz w:val="18"/>
          <w:szCs w:val="18"/>
        </w:rPr>
        <w:t>90</w:t>
      </w:r>
      <w:r w:rsidR="007A0D5C">
        <w:rPr>
          <w:rFonts w:ascii="Verdana" w:hAnsi="Verdana" w:cs="Helvetica"/>
          <w:kern w:val="0"/>
          <w:sz w:val="18"/>
          <w:szCs w:val="18"/>
        </w:rPr>
        <w:t>)</w:t>
      </w:r>
    </w:p>
    <w:p w14:paraId="66E7F233" w14:textId="4D369D17" w:rsidR="00E56421" w:rsidRPr="00AA306B" w:rsidRDefault="00E56421" w:rsidP="00E56421">
      <w:pPr>
        <w:spacing w:before="100" w:beforeAutospacing="1" w:after="100" w:afterAutospacing="1"/>
        <w:textAlignment w:val="baseline"/>
        <w:outlineLvl w:val="1"/>
        <w:rPr>
          <w:rFonts w:ascii="Verdana" w:eastAsia="Times New Roman" w:hAnsi="Verdana" w:cs="Arial"/>
          <w:b/>
          <w:bCs/>
          <w:color w:val="000000"/>
          <w:kern w:val="0"/>
          <w:sz w:val="32"/>
          <w:szCs w:val="32"/>
          <w14:ligatures w14:val="none"/>
        </w:rPr>
      </w:pPr>
      <w:bookmarkStart w:id="2" w:name="how_do_i_apply"/>
      <w:bookmarkEnd w:id="2"/>
      <w:r w:rsidRPr="00AA306B">
        <w:rPr>
          <w:rFonts w:ascii="Verdana" w:eastAsia="Times New Roman" w:hAnsi="Verdana" w:cs="Arial"/>
          <w:b/>
          <w:bCs/>
          <w:color w:val="000000"/>
          <w:kern w:val="0"/>
          <w:sz w:val="32"/>
          <w:szCs w:val="32"/>
          <w14:ligatures w14:val="none"/>
        </w:rPr>
        <w:t xml:space="preserve">How </w:t>
      </w:r>
      <w:r w:rsidR="00CB16E7">
        <w:rPr>
          <w:rFonts w:ascii="Verdana" w:eastAsia="Times New Roman" w:hAnsi="Verdana" w:cs="Arial"/>
          <w:b/>
          <w:bCs/>
          <w:color w:val="000000"/>
          <w:kern w:val="0"/>
          <w:sz w:val="32"/>
          <w:szCs w:val="32"/>
          <w14:ligatures w14:val="none"/>
        </w:rPr>
        <w:t>to</w:t>
      </w:r>
      <w:r w:rsidRPr="00AA306B">
        <w:rPr>
          <w:rFonts w:ascii="Verdana" w:eastAsia="Times New Roman" w:hAnsi="Verdana" w:cs="Arial"/>
          <w:b/>
          <w:bCs/>
          <w:color w:val="000000"/>
          <w:kern w:val="0"/>
          <w:sz w:val="32"/>
          <w:szCs w:val="32"/>
          <w14:ligatures w14:val="none"/>
        </w:rPr>
        <w:t xml:space="preserve"> apply</w:t>
      </w:r>
    </w:p>
    <w:p w14:paraId="6B437CF8" w14:textId="7DFE0FE1" w:rsidR="00E56421" w:rsidRPr="00AA306B" w:rsidRDefault="00E56421" w:rsidP="00E56421">
      <w:pPr>
        <w:numPr>
          <w:ilvl w:val="0"/>
          <w:numId w:val="4"/>
        </w:numPr>
        <w:spacing w:beforeAutospacing="1" w:afterAutospacing="1"/>
        <w:textAlignment w:val="baseline"/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</w:pPr>
      <w:r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Review the </w:t>
      </w:r>
      <w:r w:rsidR="00E70E79"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anticipated </w:t>
      </w:r>
      <w:r w:rsidR="00AA306B" w:rsidRPr="00375FFD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:bdr w:val="none" w:sz="0" w:space="0" w:color="auto" w:frame="1"/>
          <w14:ligatures w14:val="none"/>
        </w:rPr>
        <w:t xml:space="preserve">available positions </w:t>
      </w:r>
      <w:r w:rsid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:bdr w:val="none" w:sz="0" w:space="0" w:color="auto" w:frame="1"/>
          <w14:ligatures w14:val="none"/>
        </w:rPr>
        <w:t>(above)</w:t>
      </w:r>
      <w:r w:rsidRPr="00AA306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.</w:t>
      </w:r>
    </w:p>
    <w:p w14:paraId="7B94A4AF" w14:textId="1340657B" w:rsidR="00E56421" w:rsidRPr="00025B4B" w:rsidRDefault="00E56421" w:rsidP="0079303A">
      <w:pPr>
        <w:numPr>
          <w:ilvl w:val="0"/>
          <w:numId w:val="4"/>
        </w:numPr>
        <w:spacing w:beforeAutospacing="1" w:afterAutospacing="1"/>
        <w:textAlignment w:val="baseline"/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</w:pP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Complete the </w:t>
      </w:r>
      <w:r w:rsidR="00201046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:bdr w:val="none" w:sz="0" w:space="0" w:color="auto" w:frame="1"/>
          <w14:ligatures w14:val="none"/>
        </w:rPr>
        <w:t xml:space="preserve">posted </w:t>
      </w:r>
      <w:r w:rsidR="00AA306B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:bdr w:val="none" w:sz="0" w:space="0" w:color="auto" w:frame="1"/>
          <w14:ligatures w14:val="none"/>
        </w:rPr>
        <w:t>application form</w:t>
      </w:r>
      <w:r w:rsidR="00B37753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:bdr w:val="none" w:sz="0" w:space="0" w:color="auto" w:frame="1"/>
          <w14:ligatures w14:val="none"/>
        </w:rPr>
        <w:t>.</w:t>
      </w:r>
    </w:p>
    <w:p w14:paraId="48F5DB45" w14:textId="6F98E7C8" w:rsidR="00E56421" w:rsidRPr="00025B4B" w:rsidRDefault="00E56421" w:rsidP="00E56421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</w:pP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Applicants may </w:t>
      </w:r>
      <w:r w:rsidR="0079303A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include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supporting documents with their application (e.g.</w:t>
      </w:r>
      <w:r w:rsidR="0079303A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,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curriculum vitae). Such documents will not be accepted as a substitute for the </w:t>
      </w:r>
      <w:r w:rsidR="0079303A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Department’s 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application form.</w:t>
      </w:r>
    </w:p>
    <w:p w14:paraId="150C521A" w14:textId="49A46531" w:rsidR="00E56421" w:rsidRPr="00234AFD" w:rsidRDefault="0079303A" w:rsidP="00234AFD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</w:pP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Email your completed form (and any supporting materials) </w:t>
      </w:r>
      <w:r w:rsidRPr="00025B4B">
        <w:rPr>
          <w:rFonts w:ascii="Verdana" w:hAnsi="Verdana"/>
          <w:color w:val="000000" w:themeColor="text1"/>
          <w:sz w:val="18"/>
          <w:szCs w:val="18"/>
        </w:rPr>
        <w:t xml:space="preserve">to </w:t>
      </w:r>
      <w:r w:rsidRPr="00025B4B">
        <w:rPr>
          <w:rFonts w:ascii="Verdana" w:hAnsi="Verdana" w:cs="Calibri"/>
          <w:color w:val="000000" w:themeColor="text1"/>
          <w:sz w:val="18"/>
          <w:szCs w:val="18"/>
        </w:rPr>
        <w:t xml:space="preserve">the Philosophy Graduate </w:t>
      </w:r>
      <w:r w:rsidR="008D4C4B">
        <w:rPr>
          <w:rFonts w:ascii="Verdana" w:hAnsi="Verdana" w:cs="Calibri"/>
          <w:color w:val="000000" w:themeColor="text1"/>
          <w:sz w:val="18"/>
          <w:szCs w:val="18"/>
        </w:rPr>
        <w:t>Coordinator</w:t>
      </w:r>
      <w:r w:rsidR="008D4C4B" w:rsidRPr="00025B4B">
        <w:rPr>
          <w:rFonts w:ascii="Verdana" w:hAnsi="Verdana" w:cs="Calibri"/>
          <w:color w:val="000000" w:themeColor="text1"/>
          <w:sz w:val="18"/>
          <w:szCs w:val="18"/>
        </w:rPr>
        <w:t xml:space="preserve"> </w:t>
      </w:r>
      <w:r>
        <w:rPr>
          <w:rFonts w:ascii="Verdana" w:hAnsi="Verdana" w:cs="Calibri"/>
          <w:color w:val="000000"/>
          <w:sz w:val="18"/>
          <w:szCs w:val="18"/>
        </w:rPr>
        <w:t>(</w:t>
      </w:r>
      <w:hyperlink r:id="rId14" w:history="1">
        <w:r w:rsidR="00234AFD" w:rsidRPr="00234AFD">
          <w:rPr>
            <w:rStyle w:val="Hyperlink"/>
            <w:rFonts w:ascii="Verdana" w:hAnsi="Verdana" w:cs="Calibri"/>
            <w:sz w:val="18"/>
            <w:szCs w:val="18"/>
          </w:rPr>
          <w:t>katiestockdale@uvic.c</w:t>
        </w:r>
        <w:r w:rsidR="00234AFD" w:rsidRPr="003A4574">
          <w:rPr>
            <w:rStyle w:val="Hyperlink"/>
            <w:rFonts w:ascii="Verdana" w:hAnsi="Verdana" w:cs="Calibri"/>
            <w:sz w:val="18"/>
            <w:szCs w:val="18"/>
          </w:rPr>
          <w:t>a</w:t>
        </w:r>
      </w:hyperlink>
      <w:r w:rsidRPr="00234AFD">
        <w:rPr>
          <w:rFonts w:ascii="Verdana" w:hAnsi="Verdana" w:cs="Calibri"/>
          <w:sz w:val="18"/>
          <w:szCs w:val="18"/>
        </w:rPr>
        <w:t>)</w:t>
      </w:r>
      <w:r w:rsidR="00234AFD">
        <w:rPr>
          <w:rFonts w:ascii="Verdana" w:hAnsi="Verdana" w:cs="Calibri"/>
          <w:sz w:val="18"/>
          <w:szCs w:val="18"/>
        </w:rPr>
        <w:t xml:space="preserve"> </w:t>
      </w:r>
      <w:r w:rsidRPr="00234AFD">
        <w:rPr>
          <w:rFonts w:ascii="Verdana" w:hAnsi="Verdana" w:cs="Calibri"/>
          <w:sz w:val="18"/>
          <w:szCs w:val="18"/>
        </w:rPr>
        <w:t xml:space="preserve">by the indicated deadline (see above). To help ensure proper handling of your application, put ‘TA Application’ in the subject line of your </w:t>
      </w:r>
      <w:r w:rsidRPr="00234AFD">
        <w:rPr>
          <w:rFonts w:ascii="Verdana" w:hAnsi="Verdana" w:cs="Calibri"/>
          <w:color w:val="000000" w:themeColor="text1"/>
          <w:sz w:val="18"/>
          <w:szCs w:val="18"/>
        </w:rPr>
        <w:t xml:space="preserve">email. </w:t>
      </w:r>
    </w:p>
    <w:p w14:paraId="14B66E3D" w14:textId="728C6428" w:rsidR="00E56421" w:rsidRPr="00025B4B" w:rsidRDefault="00E56421" w:rsidP="00E56421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</w:pP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Offers of employment will be sent to the email address provide</w:t>
      </w:r>
      <w:r w:rsidR="0079303A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d</w:t>
      </w:r>
      <w:r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 xml:space="preserve"> on the application form</w:t>
      </w:r>
      <w:r w:rsidR="0079303A" w:rsidRPr="00025B4B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14:ligatures w14:val="none"/>
        </w:rPr>
        <w:t>.</w:t>
      </w:r>
    </w:p>
    <w:p w14:paraId="41DC2F96" w14:textId="58455E00" w:rsidR="00E44A6E" w:rsidRDefault="00E44A6E" w:rsidP="0079303A">
      <w:pPr>
        <w:spacing w:beforeAutospacing="1" w:afterAutospacing="1"/>
        <w:textAlignment w:val="baseline"/>
      </w:pPr>
    </w:p>
    <w:sectPr w:rsidR="00E44A6E" w:rsidSect="00A85140">
      <w:headerReference w:type="even" r:id="rId15"/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4A15" w14:textId="77777777" w:rsidR="002E5720" w:rsidRDefault="002E5720" w:rsidP="00375FFD">
      <w:r>
        <w:separator/>
      </w:r>
    </w:p>
  </w:endnote>
  <w:endnote w:type="continuationSeparator" w:id="0">
    <w:p w14:paraId="4C81E9C0" w14:textId="77777777" w:rsidR="002E5720" w:rsidRDefault="002E5720" w:rsidP="0037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5E718" w14:textId="77777777" w:rsidR="002E5720" w:rsidRDefault="002E5720" w:rsidP="00375FFD">
      <w:r>
        <w:separator/>
      </w:r>
    </w:p>
  </w:footnote>
  <w:footnote w:type="continuationSeparator" w:id="0">
    <w:p w14:paraId="497A3107" w14:textId="77777777" w:rsidR="002E5720" w:rsidRDefault="002E5720" w:rsidP="0037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03602462"/>
      <w:docPartObj>
        <w:docPartGallery w:val="Page Numbers (Top of Page)"/>
        <w:docPartUnique/>
      </w:docPartObj>
    </w:sdtPr>
    <w:sdtContent>
      <w:p w14:paraId="6160B5C3" w14:textId="22CC30C8" w:rsidR="00375FFD" w:rsidRDefault="00375FFD" w:rsidP="006876C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31E666" w14:textId="77777777" w:rsidR="00375FFD" w:rsidRDefault="00375FFD" w:rsidP="00375F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Verdana" w:hAnsi="Verdana"/>
        <w:sz w:val="18"/>
        <w:szCs w:val="18"/>
      </w:rPr>
      <w:id w:val="-952327312"/>
      <w:docPartObj>
        <w:docPartGallery w:val="Page Numbers (Top of Page)"/>
        <w:docPartUnique/>
      </w:docPartObj>
    </w:sdtPr>
    <w:sdtContent>
      <w:p w14:paraId="7FFA9B22" w14:textId="389F89BD" w:rsidR="00375FFD" w:rsidRPr="00375FFD" w:rsidRDefault="00375FFD" w:rsidP="006876C3">
        <w:pPr>
          <w:pStyle w:val="Header"/>
          <w:framePr w:wrap="none" w:vAnchor="text" w:hAnchor="margin" w:xAlign="right" w:y="1"/>
          <w:rPr>
            <w:rStyle w:val="PageNumber"/>
            <w:rFonts w:ascii="Verdana" w:hAnsi="Verdana"/>
            <w:sz w:val="18"/>
            <w:szCs w:val="18"/>
          </w:rPr>
        </w:pPr>
        <w:r w:rsidRPr="00375FFD">
          <w:rPr>
            <w:rStyle w:val="PageNumber"/>
            <w:rFonts w:ascii="Verdana" w:hAnsi="Verdana"/>
            <w:sz w:val="18"/>
            <w:szCs w:val="18"/>
          </w:rPr>
          <w:fldChar w:fldCharType="begin"/>
        </w:r>
        <w:r w:rsidRPr="00375FFD">
          <w:rPr>
            <w:rStyle w:val="PageNumber"/>
            <w:rFonts w:ascii="Verdana" w:hAnsi="Verdana"/>
            <w:sz w:val="18"/>
            <w:szCs w:val="18"/>
          </w:rPr>
          <w:instrText xml:space="preserve"> PAGE </w:instrText>
        </w:r>
        <w:r w:rsidRPr="00375FFD">
          <w:rPr>
            <w:rStyle w:val="PageNumber"/>
            <w:rFonts w:ascii="Verdana" w:hAnsi="Verdana"/>
            <w:sz w:val="18"/>
            <w:szCs w:val="18"/>
          </w:rPr>
          <w:fldChar w:fldCharType="separate"/>
        </w:r>
        <w:r w:rsidRPr="00375FFD">
          <w:rPr>
            <w:rStyle w:val="PageNumber"/>
            <w:rFonts w:ascii="Verdana" w:hAnsi="Verdana"/>
            <w:noProof/>
            <w:sz w:val="18"/>
            <w:szCs w:val="18"/>
          </w:rPr>
          <w:t>1</w:t>
        </w:r>
        <w:r w:rsidRPr="00375FFD">
          <w:rPr>
            <w:rStyle w:val="PageNumber"/>
            <w:rFonts w:ascii="Verdana" w:hAnsi="Verdana"/>
            <w:sz w:val="18"/>
            <w:szCs w:val="18"/>
          </w:rPr>
          <w:fldChar w:fldCharType="end"/>
        </w:r>
      </w:p>
    </w:sdtContent>
  </w:sdt>
  <w:p w14:paraId="6FD6013E" w14:textId="77777777" w:rsidR="00375FFD" w:rsidRDefault="00375FFD" w:rsidP="00375FF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C14BD"/>
    <w:multiLevelType w:val="hybridMultilevel"/>
    <w:tmpl w:val="761E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3FBD"/>
    <w:multiLevelType w:val="multilevel"/>
    <w:tmpl w:val="0F5C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45F1B"/>
    <w:multiLevelType w:val="multilevel"/>
    <w:tmpl w:val="D24C4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E06DD"/>
    <w:multiLevelType w:val="hybridMultilevel"/>
    <w:tmpl w:val="0D0A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148F9"/>
    <w:multiLevelType w:val="multilevel"/>
    <w:tmpl w:val="548AB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A1524"/>
    <w:multiLevelType w:val="multilevel"/>
    <w:tmpl w:val="7D68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15442">
    <w:abstractNumId w:val="5"/>
  </w:num>
  <w:num w:numId="2" w16cid:durableId="312761281">
    <w:abstractNumId w:val="4"/>
  </w:num>
  <w:num w:numId="3" w16cid:durableId="1463578545">
    <w:abstractNumId w:val="2"/>
  </w:num>
  <w:num w:numId="4" w16cid:durableId="141193895">
    <w:abstractNumId w:val="1"/>
  </w:num>
  <w:num w:numId="5" w16cid:durableId="1058552693">
    <w:abstractNumId w:val="3"/>
  </w:num>
  <w:num w:numId="6" w16cid:durableId="3042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21"/>
    <w:rsid w:val="00014273"/>
    <w:rsid w:val="0001683D"/>
    <w:rsid w:val="00025B4B"/>
    <w:rsid w:val="00033124"/>
    <w:rsid w:val="000575F5"/>
    <w:rsid w:val="000873BB"/>
    <w:rsid w:val="000934D8"/>
    <w:rsid w:val="000C2E17"/>
    <w:rsid w:val="000D35A8"/>
    <w:rsid w:val="000F1BC0"/>
    <w:rsid w:val="00107376"/>
    <w:rsid w:val="00130BC7"/>
    <w:rsid w:val="00134AA8"/>
    <w:rsid w:val="001409E7"/>
    <w:rsid w:val="00142C9C"/>
    <w:rsid w:val="00166BB3"/>
    <w:rsid w:val="00180EE1"/>
    <w:rsid w:val="00195A66"/>
    <w:rsid w:val="001E7798"/>
    <w:rsid w:val="001F4AFD"/>
    <w:rsid w:val="001F5F7C"/>
    <w:rsid w:val="00201046"/>
    <w:rsid w:val="0022150F"/>
    <w:rsid w:val="00234AFD"/>
    <w:rsid w:val="00262898"/>
    <w:rsid w:val="002A7A01"/>
    <w:rsid w:val="002B6104"/>
    <w:rsid w:val="002C003F"/>
    <w:rsid w:val="002C53E9"/>
    <w:rsid w:val="002E5720"/>
    <w:rsid w:val="002E5B5F"/>
    <w:rsid w:val="003041F6"/>
    <w:rsid w:val="00332303"/>
    <w:rsid w:val="00360555"/>
    <w:rsid w:val="00365CEC"/>
    <w:rsid w:val="00366065"/>
    <w:rsid w:val="00374884"/>
    <w:rsid w:val="00375FFD"/>
    <w:rsid w:val="00384EF0"/>
    <w:rsid w:val="003A0918"/>
    <w:rsid w:val="003A1148"/>
    <w:rsid w:val="003B1359"/>
    <w:rsid w:val="003E6BFD"/>
    <w:rsid w:val="00400479"/>
    <w:rsid w:val="004073B2"/>
    <w:rsid w:val="00416240"/>
    <w:rsid w:val="00427D4E"/>
    <w:rsid w:val="00430464"/>
    <w:rsid w:val="0043168B"/>
    <w:rsid w:val="00440F82"/>
    <w:rsid w:val="00452AB2"/>
    <w:rsid w:val="00461F8D"/>
    <w:rsid w:val="00466A71"/>
    <w:rsid w:val="00483411"/>
    <w:rsid w:val="00484AE4"/>
    <w:rsid w:val="00490459"/>
    <w:rsid w:val="004928F8"/>
    <w:rsid w:val="0049609F"/>
    <w:rsid w:val="00496DE9"/>
    <w:rsid w:val="0049732D"/>
    <w:rsid w:val="004B4F9B"/>
    <w:rsid w:val="004C3E88"/>
    <w:rsid w:val="004C5ECB"/>
    <w:rsid w:val="004E13D0"/>
    <w:rsid w:val="004E23E8"/>
    <w:rsid w:val="004E3009"/>
    <w:rsid w:val="004E307B"/>
    <w:rsid w:val="004E4801"/>
    <w:rsid w:val="004F2302"/>
    <w:rsid w:val="004F437D"/>
    <w:rsid w:val="0050752A"/>
    <w:rsid w:val="005109B4"/>
    <w:rsid w:val="005120EB"/>
    <w:rsid w:val="00541B51"/>
    <w:rsid w:val="0058129C"/>
    <w:rsid w:val="00595F66"/>
    <w:rsid w:val="0059719B"/>
    <w:rsid w:val="005B11F0"/>
    <w:rsid w:val="005D14C4"/>
    <w:rsid w:val="005D5C36"/>
    <w:rsid w:val="005F0F13"/>
    <w:rsid w:val="005F7FAB"/>
    <w:rsid w:val="00623650"/>
    <w:rsid w:val="00637553"/>
    <w:rsid w:val="006543C9"/>
    <w:rsid w:val="00655DD5"/>
    <w:rsid w:val="00661636"/>
    <w:rsid w:val="00661CC4"/>
    <w:rsid w:val="00674324"/>
    <w:rsid w:val="00686EA1"/>
    <w:rsid w:val="006A7CEA"/>
    <w:rsid w:val="006B037B"/>
    <w:rsid w:val="006F2D11"/>
    <w:rsid w:val="00700512"/>
    <w:rsid w:val="00702347"/>
    <w:rsid w:val="007156CF"/>
    <w:rsid w:val="00741F39"/>
    <w:rsid w:val="00752775"/>
    <w:rsid w:val="007541E1"/>
    <w:rsid w:val="00754AF7"/>
    <w:rsid w:val="00783490"/>
    <w:rsid w:val="0079303A"/>
    <w:rsid w:val="007A0D5C"/>
    <w:rsid w:val="007A1216"/>
    <w:rsid w:val="007B2F40"/>
    <w:rsid w:val="007B589F"/>
    <w:rsid w:val="007D7173"/>
    <w:rsid w:val="008043E5"/>
    <w:rsid w:val="00880EFD"/>
    <w:rsid w:val="0088358D"/>
    <w:rsid w:val="00884A64"/>
    <w:rsid w:val="00887127"/>
    <w:rsid w:val="008A1E99"/>
    <w:rsid w:val="008B11FE"/>
    <w:rsid w:val="008B1245"/>
    <w:rsid w:val="008C40B5"/>
    <w:rsid w:val="008D4C4B"/>
    <w:rsid w:val="008E5247"/>
    <w:rsid w:val="008E6584"/>
    <w:rsid w:val="008F47F0"/>
    <w:rsid w:val="008F74A5"/>
    <w:rsid w:val="009006F0"/>
    <w:rsid w:val="0093416A"/>
    <w:rsid w:val="00956E86"/>
    <w:rsid w:val="00962432"/>
    <w:rsid w:val="00965A05"/>
    <w:rsid w:val="00967D13"/>
    <w:rsid w:val="00971070"/>
    <w:rsid w:val="00997DC2"/>
    <w:rsid w:val="009A5F87"/>
    <w:rsid w:val="009B2A67"/>
    <w:rsid w:val="009B6057"/>
    <w:rsid w:val="009C2187"/>
    <w:rsid w:val="009D4B00"/>
    <w:rsid w:val="009D4F79"/>
    <w:rsid w:val="009F0F1B"/>
    <w:rsid w:val="00A063E4"/>
    <w:rsid w:val="00A11900"/>
    <w:rsid w:val="00A252EC"/>
    <w:rsid w:val="00A65C4C"/>
    <w:rsid w:val="00A67721"/>
    <w:rsid w:val="00A85140"/>
    <w:rsid w:val="00A92855"/>
    <w:rsid w:val="00AA2F1B"/>
    <w:rsid w:val="00AA306B"/>
    <w:rsid w:val="00AC2F66"/>
    <w:rsid w:val="00AD2A79"/>
    <w:rsid w:val="00AE00E3"/>
    <w:rsid w:val="00AF368B"/>
    <w:rsid w:val="00B04B04"/>
    <w:rsid w:val="00B061BD"/>
    <w:rsid w:val="00B26E87"/>
    <w:rsid w:val="00B364DB"/>
    <w:rsid w:val="00B37753"/>
    <w:rsid w:val="00B5652B"/>
    <w:rsid w:val="00B72487"/>
    <w:rsid w:val="00B81037"/>
    <w:rsid w:val="00BA6A2B"/>
    <w:rsid w:val="00BA7A3A"/>
    <w:rsid w:val="00BB09DE"/>
    <w:rsid w:val="00BB762B"/>
    <w:rsid w:val="00BD3DA4"/>
    <w:rsid w:val="00BD4093"/>
    <w:rsid w:val="00C3691C"/>
    <w:rsid w:val="00C40406"/>
    <w:rsid w:val="00C561E8"/>
    <w:rsid w:val="00C87D52"/>
    <w:rsid w:val="00C905EE"/>
    <w:rsid w:val="00C93D56"/>
    <w:rsid w:val="00CB16E7"/>
    <w:rsid w:val="00CB2F16"/>
    <w:rsid w:val="00CD3B47"/>
    <w:rsid w:val="00CF4B20"/>
    <w:rsid w:val="00D14D88"/>
    <w:rsid w:val="00D15C16"/>
    <w:rsid w:val="00D51EFC"/>
    <w:rsid w:val="00D75362"/>
    <w:rsid w:val="00D75A90"/>
    <w:rsid w:val="00DA188E"/>
    <w:rsid w:val="00DA76AA"/>
    <w:rsid w:val="00DC7A5B"/>
    <w:rsid w:val="00DE566E"/>
    <w:rsid w:val="00DE76B3"/>
    <w:rsid w:val="00E10E97"/>
    <w:rsid w:val="00E30DF1"/>
    <w:rsid w:val="00E318C9"/>
    <w:rsid w:val="00E367ED"/>
    <w:rsid w:val="00E40D03"/>
    <w:rsid w:val="00E44A6E"/>
    <w:rsid w:val="00E52CDD"/>
    <w:rsid w:val="00E55E4E"/>
    <w:rsid w:val="00E56421"/>
    <w:rsid w:val="00E70E79"/>
    <w:rsid w:val="00E76010"/>
    <w:rsid w:val="00EA4A0F"/>
    <w:rsid w:val="00EB5F6B"/>
    <w:rsid w:val="00EE6FE0"/>
    <w:rsid w:val="00EF6776"/>
    <w:rsid w:val="00F1787D"/>
    <w:rsid w:val="00F3133A"/>
    <w:rsid w:val="00F31E55"/>
    <w:rsid w:val="00F40905"/>
    <w:rsid w:val="00F40DF6"/>
    <w:rsid w:val="00F42123"/>
    <w:rsid w:val="00F424DC"/>
    <w:rsid w:val="00FA49ED"/>
    <w:rsid w:val="00FB28B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1034"/>
  <w15:chartTrackingRefBased/>
  <w15:docId w15:val="{68612CF1-D6D5-0F48-8DB7-64420497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4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4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4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4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6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6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4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4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4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4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64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56421"/>
  </w:style>
  <w:style w:type="character" w:styleId="Hyperlink">
    <w:name w:val="Hyperlink"/>
    <w:basedOn w:val="DefaultParagraphFont"/>
    <w:uiPriority w:val="99"/>
    <w:unhideWhenUsed/>
    <w:rsid w:val="00E564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6421"/>
    <w:rPr>
      <w:b/>
      <w:bCs/>
    </w:rPr>
  </w:style>
  <w:style w:type="paragraph" w:styleId="Revision">
    <w:name w:val="Revision"/>
    <w:hidden/>
    <w:uiPriority w:val="99"/>
    <w:semiHidden/>
    <w:rsid w:val="00AD2A79"/>
  </w:style>
  <w:style w:type="character" w:styleId="CommentReference">
    <w:name w:val="annotation reference"/>
    <w:basedOn w:val="DefaultParagraphFont"/>
    <w:uiPriority w:val="99"/>
    <w:semiHidden/>
    <w:unhideWhenUsed/>
    <w:rsid w:val="00AD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A79"/>
    <w:rPr>
      <w:b/>
      <w:bCs/>
      <w:sz w:val="20"/>
      <w:szCs w:val="20"/>
    </w:rPr>
  </w:style>
  <w:style w:type="paragraph" w:customStyle="1" w:styleId="Default">
    <w:name w:val="Default"/>
    <w:rsid w:val="008E5247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E52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A5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FD"/>
  </w:style>
  <w:style w:type="character" w:styleId="PageNumber">
    <w:name w:val="page number"/>
    <w:basedOn w:val="DefaultParagraphFont"/>
    <w:uiPriority w:val="99"/>
    <w:semiHidden/>
    <w:unhideWhenUsed/>
    <w:rsid w:val="00375FFD"/>
  </w:style>
  <w:style w:type="paragraph" w:styleId="Footer">
    <w:name w:val="footer"/>
    <w:basedOn w:val="Normal"/>
    <w:link w:val="FooterChar"/>
    <w:uiPriority w:val="99"/>
    <w:unhideWhenUsed/>
    <w:rsid w:val="00375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anywhere.uvic.ca/wp-content/uploads/sites/4913/2022/08/Being-a-TA-2022-2023.pdf" TargetMode="External"/><Relationship Id="rId13" Type="http://schemas.openxmlformats.org/officeDocument/2006/relationships/hyperlink" Target="https://www.uvic.ca/calendar/undergra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vicphil@uvic.ca" TargetMode="External"/><Relationship Id="rId12" Type="http://schemas.openxmlformats.org/officeDocument/2006/relationships/hyperlink" Target="http://www.uvic.ca/equitystatem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ic.ca/hr/pay-benefits/collective-agreements/index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vic.ca/hr/pay-benefits/salary-schedule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anywhere.uvic.ca/" TargetMode="External"/><Relationship Id="rId14" Type="http://schemas.openxmlformats.org/officeDocument/2006/relationships/hyperlink" Target="mailto:katiestockdale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Rysiew</dc:creator>
  <cp:keywords/>
  <dc:description/>
  <cp:lastModifiedBy>Katy DeCoste</cp:lastModifiedBy>
  <cp:revision>10</cp:revision>
  <cp:lastPrinted>2024-07-02T20:33:00Z</cp:lastPrinted>
  <dcterms:created xsi:type="dcterms:W3CDTF">2025-02-20T21:08:00Z</dcterms:created>
  <dcterms:modified xsi:type="dcterms:W3CDTF">2025-04-23T22:30:00Z</dcterms:modified>
</cp:coreProperties>
</file>