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A7D0" w14:textId="77777777" w:rsidR="00632CDC" w:rsidRPr="00F74B92" w:rsidRDefault="00632CDC" w:rsidP="00632CDC">
      <w:pPr>
        <w:jc w:val="center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REQUEST FOR EXPRESSION OF INTERES</w:t>
      </w:r>
      <w:r w:rsidR="001B229B" w:rsidRPr="00F74B92">
        <w:rPr>
          <w:rFonts w:asciiTheme="majorHAnsi" w:hAnsiTheme="majorHAnsi" w:cstheme="majorHAnsi"/>
        </w:rPr>
        <w:t>T</w:t>
      </w:r>
    </w:p>
    <w:p w14:paraId="6ED6A41C" w14:textId="77777777" w:rsidR="00632CDC" w:rsidRPr="00F74B92" w:rsidRDefault="00632CDC" w:rsidP="00632CDC">
      <w:pPr>
        <w:jc w:val="center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CUPE 4163 (Component 3) SESSIONAL LECTURERS</w:t>
      </w:r>
    </w:p>
    <w:p w14:paraId="221415F0" w14:textId="77777777" w:rsidR="00435949" w:rsidRPr="00F74B92" w:rsidRDefault="00435949" w:rsidP="00632CDC">
      <w:pPr>
        <w:rPr>
          <w:rFonts w:asciiTheme="majorHAnsi" w:hAnsiTheme="majorHAnsi" w:cstheme="majorHAnsi"/>
        </w:rPr>
      </w:pPr>
    </w:p>
    <w:p w14:paraId="575E42D3" w14:textId="7EC4E8E0" w:rsidR="00632CDC" w:rsidRPr="00F74B92" w:rsidRDefault="00632CDC" w:rsidP="00632CDC">
      <w:pPr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Expressions of interest are i</w:t>
      </w:r>
      <w:r w:rsidR="00137B2C" w:rsidRPr="00F74B92">
        <w:rPr>
          <w:rFonts w:asciiTheme="majorHAnsi" w:hAnsiTheme="majorHAnsi" w:cstheme="majorHAnsi"/>
        </w:rPr>
        <w:t xml:space="preserve">nvited for sessional </w:t>
      </w:r>
      <w:r w:rsidR="00517DFA" w:rsidRPr="00F74B92">
        <w:rPr>
          <w:rFonts w:asciiTheme="majorHAnsi" w:hAnsiTheme="majorHAnsi" w:cstheme="majorHAnsi"/>
        </w:rPr>
        <w:t>assignments</w:t>
      </w:r>
      <w:r w:rsidRPr="00F74B92">
        <w:rPr>
          <w:rFonts w:asciiTheme="majorHAnsi" w:hAnsiTheme="majorHAnsi" w:cstheme="majorHAnsi"/>
        </w:rPr>
        <w:t xml:space="preserve"> for the followin</w:t>
      </w:r>
      <w:r w:rsidR="00137B2C" w:rsidRPr="00F74B92">
        <w:rPr>
          <w:rFonts w:asciiTheme="majorHAnsi" w:hAnsiTheme="majorHAnsi" w:cstheme="majorHAnsi"/>
        </w:rPr>
        <w:t xml:space="preserve">g </w:t>
      </w:r>
      <w:r w:rsidR="00D20B68" w:rsidRPr="00F74B92">
        <w:rPr>
          <w:rFonts w:asciiTheme="majorHAnsi" w:hAnsiTheme="majorHAnsi" w:cstheme="majorHAnsi"/>
        </w:rPr>
        <w:t>Fall</w:t>
      </w:r>
      <w:r w:rsidR="00A74013" w:rsidRPr="00F74B92">
        <w:rPr>
          <w:rFonts w:asciiTheme="majorHAnsi" w:hAnsiTheme="majorHAnsi" w:cstheme="majorHAnsi"/>
        </w:rPr>
        <w:t xml:space="preserve"> 202</w:t>
      </w:r>
      <w:r w:rsidR="003A055B" w:rsidRPr="00F74B92">
        <w:rPr>
          <w:rFonts w:asciiTheme="majorHAnsi" w:hAnsiTheme="majorHAnsi" w:cstheme="majorHAnsi"/>
        </w:rPr>
        <w:t>6</w:t>
      </w:r>
      <w:r w:rsidR="00137B2C" w:rsidRPr="00F74B92">
        <w:rPr>
          <w:rFonts w:asciiTheme="majorHAnsi" w:hAnsiTheme="majorHAnsi" w:cstheme="majorHAnsi"/>
        </w:rPr>
        <w:t xml:space="preserve"> course</w:t>
      </w:r>
      <w:r w:rsidR="008911B5" w:rsidRPr="00F74B92">
        <w:rPr>
          <w:rFonts w:asciiTheme="majorHAnsi" w:hAnsiTheme="majorHAnsi" w:cstheme="majorHAnsi"/>
        </w:rPr>
        <w:t>s</w:t>
      </w:r>
      <w:r w:rsidRPr="00F74B92">
        <w:rPr>
          <w:rFonts w:asciiTheme="majorHAnsi" w:hAnsiTheme="majorHAnsi" w:cstheme="majorHAnsi"/>
        </w:rPr>
        <w:t>:</w:t>
      </w:r>
    </w:p>
    <w:p w14:paraId="0A31DFE5" w14:textId="77777777" w:rsidR="00351B5C" w:rsidRPr="00F74B92" w:rsidRDefault="00351B5C" w:rsidP="00632CDC">
      <w:pPr>
        <w:rPr>
          <w:rFonts w:asciiTheme="majorHAnsi" w:hAnsiTheme="majorHAnsi" w:cstheme="majorHAnsi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440"/>
        <w:gridCol w:w="4320"/>
        <w:gridCol w:w="1800"/>
        <w:gridCol w:w="1440"/>
        <w:gridCol w:w="1980"/>
      </w:tblGrid>
      <w:tr w:rsidR="00E71210" w:rsidRPr="00F74B92" w14:paraId="050D5D20" w14:textId="77777777" w:rsidTr="00AD0539">
        <w:trPr>
          <w:trHeight w:val="298"/>
        </w:trPr>
        <w:tc>
          <w:tcPr>
            <w:tcW w:w="1440" w:type="dxa"/>
          </w:tcPr>
          <w:p w14:paraId="6A4A5540" w14:textId="5116AD4B" w:rsidR="00E71210" w:rsidRPr="00F74B92" w:rsidRDefault="00E71210" w:rsidP="005A60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sz w:val="22"/>
                <w:szCs w:val="22"/>
              </w:rPr>
              <w:t>ED-D219</w:t>
            </w:r>
            <w:r w:rsidR="00F74B92" w:rsidRPr="00F74B92">
              <w:rPr>
                <w:rFonts w:asciiTheme="majorHAnsi" w:hAnsiTheme="majorHAnsi" w:cstheme="majorHAnsi"/>
                <w:sz w:val="22"/>
                <w:szCs w:val="22"/>
              </w:rPr>
              <w:t xml:space="preserve"> A01</w:t>
            </w:r>
          </w:p>
        </w:tc>
        <w:tc>
          <w:tcPr>
            <w:tcW w:w="4320" w:type="dxa"/>
          </w:tcPr>
          <w:p w14:paraId="40B56F76" w14:textId="31B71E4C" w:rsidR="00E71210" w:rsidRPr="00F74B92" w:rsidRDefault="00E71210" w:rsidP="005A6014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  <w:hyperlink r:id="rId7" w:anchor="/courses/S1FA0MLUT?q=ED-D219&amp;&amp;limit=20&amp;skip=0&amp;bc=true&amp;bcCurrent=&amp;bcCurrent=Introduction%20to%20Indigenous%20Approaches%20to%20Helping%20and%20Healing&amp;bcItemType=courses" w:history="1">
              <w:r w:rsidRPr="00F74B92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CA"/>
                </w:rPr>
                <w:t>Introduction to Indigenous Approaches to Helping and Healing</w:t>
              </w:r>
            </w:hyperlink>
          </w:p>
        </w:tc>
        <w:tc>
          <w:tcPr>
            <w:tcW w:w="1800" w:type="dxa"/>
          </w:tcPr>
          <w:p w14:paraId="0B81DB56" w14:textId="634924B3" w:rsidR="00E71210" w:rsidRPr="00F74B92" w:rsidRDefault="00F74B92" w:rsidP="00982EE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Sept 9 – Dec 7</w:t>
            </w:r>
          </w:p>
        </w:tc>
        <w:tc>
          <w:tcPr>
            <w:tcW w:w="1440" w:type="dxa"/>
          </w:tcPr>
          <w:p w14:paraId="42488929" w14:textId="6B21E1B1" w:rsidR="00E71210" w:rsidRPr="00F74B92" w:rsidRDefault="00F74B92" w:rsidP="00E7121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Mon &amp; Wed</w:t>
            </w:r>
          </w:p>
        </w:tc>
        <w:tc>
          <w:tcPr>
            <w:tcW w:w="1980" w:type="dxa"/>
          </w:tcPr>
          <w:p w14:paraId="0BA99D8A" w14:textId="3D8A3489" w:rsidR="00E71210" w:rsidRPr="00F74B92" w:rsidRDefault="00F74B92" w:rsidP="001D2D0A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3:30pm 4:50pm</w:t>
            </w:r>
          </w:p>
        </w:tc>
      </w:tr>
      <w:tr w:rsidR="00F74B92" w:rsidRPr="00F74B92" w14:paraId="22D96217" w14:textId="77777777" w:rsidTr="007315BC">
        <w:trPr>
          <w:trHeight w:val="298"/>
        </w:trPr>
        <w:tc>
          <w:tcPr>
            <w:tcW w:w="1440" w:type="dxa"/>
          </w:tcPr>
          <w:p w14:paraId="58F493BC" w14:textId="39A9A6A4" w:rsidR="00F74B92" w:rsidRPr="00F74B92" w:rsidRDefault="00F74B92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ED-D277 A01</w:t>
            </w:r>
          </w:p>
        </w:tc>
        <w:tc>
          <w:tcPr>
            <w:tcW w:w="4320" w:type="dxa"/>
          </w:tcPr>
          <w:p w14:paraId="6D468B36" w14:textId="36ED2C82" w:rsidR="00F74B92" w:rsidRPr="00F74B92" w:rsidRDefault="00F74B92" w:rsidP="00F74B92">
            <w:pPr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  <w:hyperlink r:id="rId8" w:anchor="/courses/Hy5z2-qla?q=ED-D219&amp;&amp;limit=20&amp;skip=0&amp;bc=true&amp;bcCurrent=&amp;bcCurrent=Introduction%20to%20Indigenous%20Approaches%20to%20Helping%20and%20Healing&amp;bcItemType=courses" w:history="1">
              <w:r w:rsidRPr="00F74B92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CA"/>
                </w:rPr>
                <w:t>Resilience and Coping to Overcome Adversity</w:t>
              </w:r>
            </w:hyperlink>
          </w:p>
          <w:p w14:paraId="39D48543" w14:textId="141463D4" w:rsidR="00F74B92" w:rsidRPr="00F74B92" w:rsidRDefault="00F74B92" w:rsidP="005A601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9093FBF" w14:textId="491D75BA" w:rsidR="00F74B92" w:rsidRPr="00F74B92" w:rsidRDefault="00F74B92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Sept 9 – Dec 7</w:t>
            </w:r>
          </w:p>
        </w:tc>
        <w:tc>
          <w:tcPr>
            <w:tcW w:w="3420" w:type="dxa"/>
            <w:gridSpan w:val="2"/>
          </w:tcPr>
          <w:p w14:paraId="2A6C9693" w14:textId="2EE514AA" w:rsidR="00F74B92" w:rsidRPr="00F74B92" w:rsidRDefault="00F74B92" w:rsidP="00F74B9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Online &amp; Asynchronous</w:t>
            </w:r>
          </w:p>
        </w:tc>
      </w:tr>
      <w:tr w:rsidR="005A6014" w:rsidRPr="00F74B92" w14:paraId="4B0FDC3D" w14:textId="77777777" w:rsidTr="00AD0539">
        <w:trPr>
          <w:trHeight w:val="298"/>
        </w:trPr>
        <w:tc>
          <w:tcPr>
            <w:tcW w:w="1440" w:type="dxa"/>
          </w:tcPr>
          <w:p w14:paraId="0FB44E42" w14:textId="77777777" w:rsidR="005A6014" w:rsidRPr="00F74B92" w:rsidRDefault="00D00353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ED-D</w:t>
            </w:r>
            <w:r w:rsidR="00F74B92"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301 A01</w:t>
            </w:r>
          </w:p>
          <w:p w14:paraId="01145A2E" w14:textId="6CB6E9E2" w:rsidR="00F74B92" w:rsidRPr="00F74B92" w:rsidRDefault="00F74B92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(ELEM-PDPP)</w:t>
            </w:r>
          </w:p>
        </w:tc>
        <w:tc>
          <w:tcPr>
            <w:tcW w:w="4320" w:type="dxa"/>
          </w:tcPr>
          <w:p w14:paraId="79553612" w14:textId="5933CC33" w:rsidR="00F74B92" w:rsidRPr="00F74B92" w:rsidRDefault="00F74B92" w:rsidP="00F74B92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  <w:hyperlink r:id="rId9" w:history="1">
              <w:r w:rsidRPr="00F74B92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CA"/>
                </w:rPr>
                <w:t>Learners and Learning Environments</w:t>
              </w:r>
            </w:hyperlink>
          </w:p>
          <w:p w14:paraId="04D43B34" w14:textId="12FFC5D5" w:rsidR="005A6014" w:rsidRPr="00F74B92" w:rsidRDefault="005A6014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5D3893" w14:textId="77777777" w:rsidR="00D00353" w:rsidRPr="00F74B92" w:rsidRDefault="00F74B92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Nov 2 – Dec 11</w:t>
            </w:r>
          </w:p>
          <w:p w14:paraId="5CEFFEF9" w14:textId="7A2224AA" w:rsidR="00F74B92" w:rsidRPr="00F74B92" w:rsidRDefault="00F74B92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(Horgan Campus)</w:t>
            </w:r>
          </w:p>
        </w:tc>
        <w:tc>
          <w:tcPr>
            <w:tcW w:w="1440" w:type="dxa"/>
          </w:tcPr>
          <w:p w14:paraId="7E158DED" w14:textId="7FC00C9A" w:rsidR="00D00353" w:rsidRPr="00F74B92" w:rsidRDefault="00F74B92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Mon &amp; Thurs</w:t>
            </w:r>
          </w:p>
        </w:tc>
        <w:tc>
          <w:tcPr>
            <w:tcW w:w="1980" w:type="dxa"/>
          </w:tcPr>
          <w:p w14:paraId="1BF2C22C" w14:textId="1A9FA9EE" w:rsidR="005A6014" w:rsidRPr="00F74B92" w:rsidRDefault="00F74B92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>9:00am – 11:50am</w:t>
            </w:r>
            <w:r w:rsidR="00D00353" w:rsidRPr="00F74B9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</w:tr>
      <w:tr w:rsidR="008A2458" w:rsidRPr="00F74B92" w14:paraId="37196374" w14:textId="77777777" w:rsidTr="00022398">
        <w:trPr>
          <w:trHeight w:val="298"/>
        </w:trPr>
        <w:tc>
          <w:tcPr>
            <w:tcW w:w="1440" w:type="dxa"/>
          </w:tcPr>
          <w:p w14:paraId="22839325" w14:textId="77777777" w:rsidR="008A2458" w:rsidRDefault="008A2458" w:rsidP="00F74B9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4B92">
              <w:rPr>
                <w:rFonts w:asciiTheme="majorHAnsi" w:hAnsiTheme="majorHAnsi" w:cstheme="majorHAnsi"/>
                <w:sz w:val="22"/>
                <w:szCs w:val="22"/>
              </w:rPr>
              <w:t>ED-D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405 A01</w:t>
            </w:r>
          </w:p>
          <w:p w14:paraId="1FB721E0" w14:textId="51A7296E" w:rsidR="008A2458" w:rsidRPr="00F74B92" w:rsidRDefault="008A2458" w:rsidP="00F74B9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320" w:type="dxa"/>
          </w:tcPr>
          <w:p w14:paraId="52BE7034" w14:textId="65C98411" w:rsidR="008A2458" w:rsidRPr="00F74B92" w:rsidRDefault="008A2458" w:rsidP="00F74B92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  <w:hyperlink r:id="rId10" w:anchor="/courses/Sy4kfdpXV?q=ED-D301&amp;&amp;limit=20&amp;skip=0&amp;bc=true&amp;bcCurrent=&amp;bcCurrent=Learners%20and%20Learning%20Environments&amp;bcItemType=courses" w:history="1">
              <w:r w:rsidRPr="00F74B92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CA"/>
                </w:rPr>
                <w:t>Practical Strategies for Advancing Inclusive Education</w:t>
              </w:r>
            </w:hyperlink>
          </w:p>
          <w:p w14:paraId="4F9B5C00" w14:textId="4B95F400" w:rsidR="008A2458" w:rsidRPr="00F74B92" w:rsidRDefault="008A2458" w:rsidP="00F74B92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16254CBC" w14:textId="15AD07FA" w:rsidR="008A2458" w:rsidRPr="00F74B92" w:rsidRDefault="008A2458" w:rsidP="00F74B9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A2458">
              <w:rPr>
                <w:rFonts w:asciiTheme="majorHAnsi" w:hAnsiTheme="majorHAnsi" w:cstheme="majorHAnsi"/>
                <w:bCs/>
                <w:sz w:val="22"/>
                <w:szCs w:val="22"/>
              </w:rPr>
              <w:t>Sept 9 – Dec 7</w:t>
            </w:r>
          </w:p>
        </w:tc>
        <w:tc>
          <w:tcPr>
            <w:tcW w:w="3420" w:type="dxa"/>
            <w:gridSpan w:val="2"/>
          </w:tcPr>
          <w:p w14:paraId="2D5F2BA0" w14:textId="01292912" w:rsidR="008A2458" w:rsidRPr="00F74B92" w:rsidRDefault="008A2458" w:rsidP="008A2458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A2458">
              <w:rPr>
                <w:rFonts w:asciiTheme="majorHAnsi" w:hAnsiTheme="majorHAnsi" w:cstheme="majorHAnsi"/>
                <w:bCs/>
                <w:sz w:val="22"/>
                <w:szCs w:val="22"/>
              </w:rPr>
              <w:t>Online &amp; Asynchronous</w:t>
            </w:r>
          </w:p>
        </w:tc>
      </w:tr>
      <w:tr w:rsidR="00F74B92" w:rsidRPr="00F74B92" w14:paraId="4D7D1848" w14:textId="77777777" w:rsidTr="00AD0539">
        <w:trPr>
          <w:trHeight w:val="298"/>
        </w:trPr>
        <w:tc>
          <w:tcPr>
            <w:tcW w:w="1440" w:type="dxa"/>
          </w:tcPr>
          <w:p w14:paraId="732FD9CD" w14:textId="77777777" w:rsidR="00F74B92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ED-D408 A01</w:t>
            </w:r>
          </w:p>
          <w:p w14:paraId="6D516C7E" w14:textId="67BC1D99" w:rsid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A2458">
              <w:rPr>
                <w:rFonts w:asciiTheme="majorHAnsi" w:hAnsiTheme="majorHAnsi" w:cstheme="majorHAnsi"/>
                <w:bCs/>
                <w:sz w:val="22"/>
                <w:szCs w:val="22"/>
              </w:rPr>
              <w:t>(ELEM BEd)</w:t>
            </w:r>
          </w:p>
          <w:p w14:paraId="43439278" w14:textId="7721C23E" w:rsidR="008A2458" w:rsidRPr="00F74B92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A21730" w14:textId="405E98AD" w:rsidR="008A2458" w:rsidRP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  <w:hyperlink r:id="rId11" w:anchor="/courses/HyBkMuTQN?q=ED-D301&amp;&amp;limit=20&amp;skip=0&amp;bc=true&amp;bcCurrent=&amp;bcCurrent=Learners%20and%20Learning%20Environments&amp;bcItemType=courses" w:history="1">
              <w:r w:rsidRPr="008A2458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CA"/>
                </w:rPr>
                <w:t>Promoting Prosocial Behaviour: Strategies and Management</w:t>
              </w:r>
            </w:hyperlink>
          </w:p>
          <w:p w14:paraId="1256E175" w14:textId="77777777" w:rsidR="00F74B92" w:rsidRPr="00F74B92" w:rsidRDefault="00F74B92" w:rsidP="00F74B92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2A141382" w14:textId="02FEAD87" w:rsidR="00F74B92" w:rsidRPr="00F74B92" w:rsidRDefault="008A2458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A2458">
              <w:rPr>
                <w:rFonts w:asciiTheme="majorHAnsi" w:hAnsiTheme="majorHAnsi" w:cstheme="majorHAnsi"/>
                <w:bCs/>
                <w:sz w:val="22"/>
                <w:szCs w:val="22"/>
              </w:rPr>
              <w:t>Sept 9 – Dec 7</w:t>
            </w:r>
          </w:p>
        </w:tc>
        <w:tc>
          <w:tcPr>
            <w:tcW w:w="1440" w:type="dxa"/>
          </w:tcPr>
          <w:p w14:paraId="5F3D1913" w14:textId="67679A17" w:rsidR="00F74B92" w:rsidRPr="00F74B92" w:rsidRDefault="008A2458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Mon &amp; Thurs</w:t>
            </w:r>
          </w:p>
        </w:tc>
        <w:tc>
          <w:tcPr>
            <w:tcW w:w="1980" w:type="dxa"/>
          </w:tcPr>
          <w:p w14:paraId="45F7C63E" w14:textId="18F3CF7F" w:rsidR="00F74B92" w:rsidRPr="00F74B92" w:rsidRDefault="008A2458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8:30am – 9:50am</w:t>
            </w:r>
          </w:p>
        </w:tc>
      </w:tr>
      <w:tr w:rsidR="008A2458" w:rsidRPr="00F74B92" w14:paraId="1A0E734F" w14:textId="77777777" w:rsidTr="00AD0539">
        <w:trPr>
          <w:trHeight w:val="298"/>
        </w:trPr>
        <w:tc>
          <w:tcPr>
            <w:tcW w:w="1440" w:type="dxa"/>
          </w:tcPr>
          <w:p w14:paraId="1DB2FBE7" w14:textId="14B7E933" w:rsid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ED-D4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A0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  <w:p w14:paraId="01D1050C" w14:textId="77777777" w:rsid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320" w:type="dxa"/>
          </w:tcPr>
          <w:p w14:paraId="14F30634" w14:textId="1749858C" w:rsidR="008A2458" w:rsidRP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  <w:hyperlink r:id="rId12" w:anchor="/courses/r1OkzO6X4?q=ED-D301&amp;&amp;limit=20&amp;skip=0&amp;bc=true&amp;bcCurrent=&amp;bcCurrent=Learners%20and%20Learning%20Environments&amp;bcItemType=courses" w:history="1">
              <w:r w:rsidRPr="008A2458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CA"/>
                </w:rPr>
                <w:t>Teacher as Leader: The Professional Role</w:t>
              </w:r>
            </w:hyperlink>
          </w:p>
          <w:p w14:paraId="4ABB41B3" w14:textId="77777777" w:rsid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0CD44D8B" w14:textId="12B43610" w:rsidR="008A2458" w:rsidRP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A245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Sept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10</w:t>
            </w:r>
            <w:r w:rsidRPr="008A245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Sep 25</w:t>
            </w:r>
          </w:p>
        </w:tc>
        <w:tc>
          <w:tcPr>
            <w:tcW w:w="1440" w:type="dxa"/>
          </w:tcPr>
          <w:p w14:paraId="47AF8BFC" w14:textId="4A69C2E6" w:rsidR="008A2458" w:rsidRDefault="008A2458" w:rsidP="008A2458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MTWTF</w:t>
            </w:r>
          </w:p>
        </w:tc>
        <w:tc>
          <w:tcPr>
            <w:tcW w:w="1980" w:type="dxa"/>
          </w:tcPr>
          <w:p w14:paraId="4E2F634D" w14:textId="77777777" w:rsid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1:30pm – 4:20pm</w:t>
            </w:r>
          </w:p>
          <w:p w14:paraId="349A2F1E" w14:textId="5693637E" w:rsid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Online</w:t>
            </w:r>
          </w:p>
        </w:tc>
      </w:tr>
      <w:tr w:rsidR="008A2458" w:rsidRPr="00F74B92" w14:paraId="49AAD195" w14:textId="77777777" w:rsidTr="00AD0539">
        <w:trPr>
          <w:trHeight w:val="298"/>
        </w:trPr>
        <w:tc>
          <w:tcPr>
            <w:tcW w:w="1440" w:type="dxa"/>
          </w:tcPr>
          <w:p w14:paraId="27E7B6E4" w14:textId="77777777" w:rsidR="008A2458" w:rsidRDefault="00A835B6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ED-D420 </w:t>
            </w:r>
            <w:r w:rsidR="00516A6D">
              <w:rPr>
                <w:rFonts w:asciiTheme="majorHAnsi" w:hAnsiTheme="majorHAnsi" w:cstheme="majorHAnsi"/>
                <w:bCs/>
                <w:sz w:val="22"/>
                <w:szCs w:val="22"/>
              </w:rPr>
              <w:t>A01</w:t>
            </w:r>
          </w:p>
          <w:p w14:paraId="1325ED4E" w14:textId="4C002739" w:rsidR="00516A6D" w:rsidRDefault="00516A6D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(ELEM PDPP)</w:t>
            </w:r>
          </w:p>
        </w:tc>
        <w:tc>
          <w:tcPr>
            <w:tcW w:w="4320" w:type="dxa"/>
          </w:tcPr>
          <w:p w14:paraId="08E5DA45" w14:textId="414E3048" w:rsidR="00516A6D" w:rsidRPr="00516A6D" w:rsidRDefault="00516A6D" w:rsidP="00516A6D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  <w:hyperlink r:id="rId13" w:anchor="/courses/SkCkGdT74?q=ED-D420&amp;&amp;limit=20&amp;skip=0&amp;bc=true&amp;bcCurrent=&amp;bcCurrent=Learning%20Support%3A%20Context%20and%20Key%20Issues&amp;bcItemType=courses" w:history="1">
              <w:r w:rsidRPr="00516A6D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CA"/>
                </w:rPr>
                <w:t>Learning Support: Context and Key Issues</w:t>
              </w:r>
            </w:hyperlink>
          </w:p>
          <w:p w14:paraId="310D9025" w14:textId="77777777" w:rsidR="008A2458" w:rsidRDefault="008A2458" w:rsidP="008A2458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6EE2AC00" w14:textId="77777777" w:rsidR="008A2458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Nov 2 – Dec 11</w:t>
            </w:r>
          </w:p>
          <w:p w14:paraId="705FA7DE" w14:textId="2A9C9E74" w:rsidR="00516A6D" w:rsidRPr="008A2458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(Horgan Campus</w:t>
            </w:r>
          </w:p>
        </w:tc>
        <w:tc>
          <w:tcPr>
            <w:tcW w:w="1440" w:type="dxa"/>
          </w:tcPr>
          <w:p w14:paraId="20B7D3FB" w14:textId="3F8625C6" w:rsidR="008A2458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Mon &amp; Tues</w:t>
            </w:r>
          </w:p>
        </w:tc>
        <w:tc>
          <w:tcPr>
            <w:tcW w:w="1980" w:type="dxa"/>
          </w:tcPr>
          <w:p w14:paraId="474C000D" w14:textId="1BC22E50" w:rsidR="008A2458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1:00pm – 3:50pm</w:t>
            </w:r>
          </w:p>
        </w:tc>
      </w:tr>
      <w:tr w:rsidR="00516A6D" w:rsidRPr="00F74B92" w14:paraId="03EC943F" w14:textId="77777777" w:rsidTr="00AD0539">
        <w:trPr>
          <w:trHeight w:val="298"/>
        </w:trPr>
        <w:tc>
          <w:tcPr>
            <w:tcW w:w="1440" w:type="dxa"/>
          </w:tcPr>
          <w:p w14:paraId="507BE2CF" w14:textId="632B6D59" w:rsidR="00516A6D" w:rsidRPr="00516A6D" w:rsidRDefault="00516A6D" w:rsidP="00516A6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16A6D">
              <w:rPr>
                <w:rFonts w:asciiTheme="majorHAnsi" w:hAnsiTheme="majorHAnsi" w:cstheme="majorHAnsi"/>
                <w:bCs/>
                <w:sz w:val="22"/>
                <w:szCs w:val="22"/>
              </w:rPr>
              <w:t>ED-D420 A0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5</w:t>
            </w:r>
          </w:p>
          <w:p w14:paraId="3A7C0B41" w14:textId="2EC138AA" w:rsidR="00516A6D" w:rsidRDefault="00516A6D" w:rsidP="00516A6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16A6D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SECO</w:t>
            </w:r>
            <w:r w:rsidRPr="00516A6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PDPP)</w:t>
            </w:r>
          </w:p>
        </w:tc>
        <w:tc>
          <w:tcPr>
            <w:tcW w:w="4320" w:type="dxa"/>
          </w:tcPr>
          <w:p w14:paraId="56F2CFB5" w14:textId="77777777" w:rsidR="00516A6D" w:rsidRPr="00516A6D" w:rsidRDefault="00516A6D" w:rsidP="00516A6D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  <w:hyperlink r:id="rId14" w:anchor="/courses/SkCkGdT74?q=ED-D420&amp;&amp;limit=20&amp;skip=0&amp;bc=true&amp;bcCurrent=&amp;bcCurrent=Learning%20Support%3A%20Context%20and%20Key%20Issues&amp;bcItemType=courses" w:history="1">
              <w:r w:rsidRPr="00516A6D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CA"/>
                </w:rPr>
                <w:t>Learning Support: Context and Key Issues</w:t>
              </w:r>
            </w:hyperlink>
          </w:p>
          <w:p w14:paraId="43C88F09" w14:textId="77777777" w:rsidR="00516A6D" w:rsidRDefault="00516A6D" w:rsidP="00516A6D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00241E9F" w14:textId="146A6383" w:rsidR="00516A6D" w:rsidRPr="00516A6D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16A6D">
              <w:rPr>
                <w:rFonts w:asciiTheme="majorHAnsi" w:hAnsiTheme="majorHAnsi" w:cstheme="majorHAnsi"/>
                <w:bCs/>
                <w:sz w:val="22"/>
                <w:szCs w:val="22"/>
              </w:rPr>
              <w:t>Sept 9 – Dec 7</w:t>
            </w:r>
          </w:p>
        </w:tc>
        <w:tc>
          <w:tcPr>
            <w:tcW w:w="1440" w:type="dxa"/>
          </w:tcPr>
          <w:p w14:paraId="04B75EC8" w14:textId="2321D36B" w:rsidR="00516A6D" w:rsidRPr="00516A6D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16A6D">
              <w:rPr>
                <w:rFonts w:asciiTheme="majorHAnsi" w:hAnsiTheme="majorHAnsi" w:cstheme="majorHAnsi"/>
                <w:bCs/>
                <w:sz w:val="22"/>
                <w:szCs w:val="22"/>
              </w:rPr>
              <w:t>Mon &amp; Thurs</w:t>
            </w:r>
          </w:p>
        </w:tc>
        <w:tc>
          <w:tcPr>
            <w:tcW w:w="1980" w:type="dxa"/>
          </w:tcPr>
          <w:p w14:paraId="09BBC7CC" w14:textId="103F7DD6" w:rsidR="00516A6D" w:rsidRDefault="00AD0539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D0539">
              <w:rPr>
                <w:rFonts w:asciiTheme="majorHAnsi" w:hAnsiTheme="majorHAnsi" w:cstheme="majorHAnsi"/>
                <w:bCs/>
                <w:sz w:val="22"/>
                <w:szCs w:val="22"/>
              </w:rPr>
              <w:t>10:00am –11:20am</w:t>
            </w:r>
          </w:p>
        </w:tc>
      </w:tr>
      <w:tr w:rsidR="00516A6D" w:rsidRPr="00F74B92" w14:paraId="4701C089" w14:textId="77777777" w:rsidTr="00AD0539">
        <w:trPr>
          <w:trHeight w:val="298"/>
        </w:trPr>
        <w:tc>
          <w:tcPr>
            <w:tcW w:w="1440" w:type="dxa"/>
          </w:tcPr>
          <w:p w14:paraId="71055D69" w14:textId="77777777" w:rsidR="00516A6D" w:rsidRDefault="00516A6D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ED-D421 A01</w:t>
            </w:r>
          </w:p>
          <w:p w14:paraId="75DD7443" w14:textId="77777777" w:rsidR="00516A6D" w:rsidRPr="00516A6D" w:rsidRDefault="00516A6D" w:rsidP="00516A6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16A6D">
              <w:rPr>
                <w:rFonts w:asciiTheme="majorHAnsi" w:hAnsiTheme="majorHAnsi" w:cstheme="majorHAnsi"/>
                <w:bCs/>
                <w:sz w:val="22"/>
                <w:szCs w:val="22"/>
              </w:rPr>
              <w:t>(ELEM BEd)</w:t>
            </w:r>
          </w:p>
          <w:p w14:paraId="0DE3800E" w14:textId="0B04BA97" w:rsidR="00516A6D" w:rsidRDefault="00516A6D" w:rsidP="008A24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320" w:type="dxa"/>
          </w:tcPr>
          <w:p w14:paraId="2525D1DA" w14:textId="2A42B99B" w:rsidR="00516A6D" w:rsidRPr="00516A6D" w:rsidRDefault="00516A6D" w:rsidP="00516A6D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  <w:hyperlink r:id="rId15" w:anchor="/courses/ry1lz_674?q=ED-D421&amp;&amp;limit=20&amp;skip=0&amp;bc=true&amp;bcCurrent=&amp;bcCurrent=Recognition%20and%20Assessment%20of%20Learning%20Needs&amp;bcItemType=courses" w:history="1">
              <w:r w:rsidRPr="00516A6D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CA"/>
                </w:rPr>
                <w:t>Recognition and Assessment of Learning Needs</w:t>
              </w:r>
            </w:hyperlink>
          </w:p>
          <w:p w14:paraId="6BB44A9C" w14:textId="77777777" w:rsidR="00516A6D" w:rsidRDefault="00516A6D" w:rsidP="00516A6D">
            <w:pPr>
              <w:rPr>
                <w:rFonts w:asciiTheme="majorHAnsi" w:hAnsiTheme="majorHAnsi" w:cstheme="majorHAnsi"/>
                <w:bCs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7E9F4558" w14:textId="1D3E95C6" w:rsidR="00516A6D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16A6D">
              <w:rPr>
                <w:rFonts w:asciiTheme="majorHAnsi" w:hAnsiTheme="majorHAnsi" w:cstheme="majorHAnsi"/>
                <w:bCs/>
                <w:sz w:val="22"/>
                <w:szCs w:val="22"/>
              </w:rPr>
              <w:t>Sept 9 – Dec 7</w:t>
            </w:r>
          </w:p>
        </w:tc>
        <w:tc>
          <w:tcPr>
            <w:tcW w:w="1440" w:type="dxa"/>
          </w:tcPr>
          <w:p w14:paraId="3F3438C8" w14:textId="3C76A6F1" w:rsidR="00516A6D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16A6D">
              <w:rPr>
                <w:rFonts w:asciiTheme="majorHAnsi" w:hAnsiTheme="majorHAnsi" w:cstheme="majorHAnsi"/>
                <w:bCs/>
                <w:sz w:val="22"/>
                <w:szCs w:val="22"/>
              </w:rPr>
              <w:t>Mon &amp; Thurs</w:t>
            </w:r>
          </w:p>
        </w:tc>
        <w:tc>
          <w:tcPr>
            <w:tcW w:w="1980" w:type="dxa"/>
          </w:tcPr>
          <w:p w14:paraId="51731537" w14:textId="7964A0EF" w:rsidR="00516A6D" w:rsidRDefault="00516A6D" w:rsidP="005A601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10:00am –11:20am</w:t>
            </w:r>
          </w:p>
        </w:tc>
      </w:tr>
    </w:tbl>
    <w:p w14:paraId="03F80829" w14:textId="1ED13A4E" w:rsidR="001B284E" w:rsidRPr="00F74B92" w:rsidRDefault="008209AC" w:rsidP="00632CDC">
      <w:pPr>
        <w:rPr>
          <w:rFonts w:asciiTheme="majorHAnsi" w:hAnsiTheme="majorHAnsi" w:cstheme="majorHAnsi"/>
          <w:b/>
          <w:i/>
          <w:iCs/>
        </w:rPr>
      </w:pPr>
      <w:r w:rsidRPr="00F74B92">
        <w:rPr>
          <w:rFonts w:asciiTheme="majorHAnsi" w:hAnsiTheme="majorHAnsi" w:cstheme="majorHAnsi"/>
          <w:b/>
          <w:i/>
          <w:iCs/>
        </w:rPr>
        <w:t>NOTE:</w:t>
      </w:r>
    </w:p>
    <w:p w14:paraId="4D0C1E93" w14:textId="12E9A8BE" w:rsidR="008209AC" w:rsidRPr="00F74B92" w:rsidRDefault="00421F92" w:rsidP="00C3101A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  <w:iCs/>
        </w:rPr>
      </w:pPr>
      <w:r w:rsidRPr="00F74B92">
        <w:rPr>
          <w:rFonts w:asciiTheme="majorHAnsi" w:hAnsiTheme="majorHAnsi" w:cstheme="majorHAnsi"/>
          <w:i/>
          <w:iCs/>
        </w:rPr>
        <w:t xml:space="preserve">For </w:t>
      </w:r>
      <w:r w:rsidR="00137B2C" w:rsidRPr="00F74B92">
        <w:rPr>
          <w:rFonts w:asciiTheme="majorHAnsi" w:hAnsiTheme="majorHAnsi" w:cstheme="majorHAnsi"/>
          <w:i/>
          <w:iCs/>
        </w:rPr>
        <w:t xml:space="preserve">a </w:t>
      </w:r>
      <w:r w:rsidRPr="00F74B92">
        <w:rPr>
          <w:rFonts w:asciiTheme="majorHAnsi" w:hAnsiTheme="majorHAnsi" w:cstheme="majorHAnsi"/>
          <w:i/>
          <w:iCs/>
        </w:rPr>
        <w:t>calendar d</w:t>
      </w:r>
      <w:r w:rsidR="00137B2C" w:rsidRPr="00F74B92">
        <w:rPr>
          <w:rFonts w:asciiTheme="majorHAnsi" w:hAnsiTheme="majorHAnsi" w:cstheme="majorHAnsi"/>
          <w:i/>
          <w:iCs/>
        </w:rPr>
        <w:t>escription of course</w:t>
      </w:r>
      <w:r w:rsidR="008911B5" w:rsidRPr="00F74B92">
        <w:rPr>
          <w:rFonts w:asciiTheme="majorHAnsi" w:hAnsiTheme="majorHAnsi" w:cstheme="majorHAnsi"/>
          <w:i/>
          <w:iCs/>
        </w:rPr>
        <w:t>s</w:t>
      </w:r>
      <w:r w:rsidRPr="00F74B92">
        <w:rPr>
          <w:rFonts w:asciiTheme="majorHAnsi" w:hAnsiTheme="majorHAnsi" w:cstheme="majorHAnsi"/>
          <w:i/>
          <w:iCs/>
        </w:rPr>
        <w:t xml:space="preserve">, please </w:t>
      </w:r>
      <w:r w:rsidR="001D7109" w:rsidRPr="00F74B92">
        <w:rPr>
          <w:rFonts w:asciiTheme="majorHAnsi" w:hAnsiTheme="majorHAnsi" w:cstheme="majorHAnsi"/>
          <w:i/>
          <w:iCs/>
        </w:rPr>
        <w:t xml:space="preserve">see links above or </w:t>
      </w:r>
      <w:r w:rsidRPr="00F74B92">
        <w:rPr>
          <w:rFonts w:asciiTheme="majorHAnsi" w:hAnsiTheme="majorHAnsi" w:cstheme="majorHAnsi"/>
          <w:i/>
          <w:iCs/>
        </w:rPr>
        <w:t xml:space="preserve">refer to </w:t>
      </w:r>
      <w:r w:rsidR="00137B2C" w:rsidRPr="00F74B92">
        <w:rPr>
          <w:rFonts w:asciiTheme="majorHAnsi" w:hAnsiTheme="majorHAnsi" w:cstheme="majorHAnsi"/>
          <w:i/>
          <w:iCs/>
        </w:rPr>
        <w:t xml:space="preserve">the </w:t>
      </w:r>
      <w:hyperlink r:id="rId16" w:history="1">
        <w:r w:rsidR="001D7109" w:rsidRPr="00F74B92">
          <w:rPr>
            <w:rStyle w:val="Hyperlink"/>
            <w:rFonts w:asciiTheme="majorHAnsi" w:hAnsiTheme="majorHAnsi" w:cstheme="majorHAnsi"/>
            <w:i/>
            <w:iCs/>
          </w:rPr>
          <w:t>academic calendar</w:t>
        </w:r>
      </w:hyperlink>
      <w:r w:rsidR="008209AC" w:rsidRPr="00F74B92">
        <w:rPr>
          <w:rFonts w:asciiTheme="majorHAnsi" w:hAnsiTheme="majorHAnsi" w:cstheme="majorHAnsi"/>
          <w:i/>
          <w:iCs/>
        </w:rPr>
        <w:t>.</w:t>
      </w:r>
      <w:r w:rsidR="001D7109" w:rsidRPr="00F74B92">
        <w:rPr>
          <w:rFonts w:asciiTheme="majorHAnsi" w:hAnsiTheme="majorHAnsi" w:cstheme="majorHAnsi"/>
          <w:i/>
          <w:iCs/>
        </w:rPr>
        <w:t xml:space="preserve"> </w:t>
      </w:r>
    </w:p>
    <w:p w14:paraId="70988EF5" w14:textId="63964D87" w:rsidR="00421F92" w:rsidRPr="00F74B92" w:rsidRDefault="00540BFB" w:rsidP="00D16FA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i/>
          <w:iCs/>
        </w:rPr>
      </w:pPr>
      <w:r w:rsidRPr="00F74B92">
        <w:rPr>
          <w:rFonts w:asciiTheme="majorHAnsi" w:hAnsiTheme="majorHAnsi" w:cstheme="majorHAnsi"/>
          <w:i/>
          <w:iCs/>
        </w:rPr>
        <w:t xml:space="preserve">Course scheduling is subject to change. Please </w:t>
      </w:r>
      <w:r w:rsidR="00A95E21" w:rsidRPr="00F74B92">
        <w:rPr>
          <w:rFonts w:asciiTheme="majorHAnsi" w:hAnsiTheme="majorHAnsi" w:cstheme="majorHAnsi"/>
          <w:i/>
          <w:iCs/>
        </w:rPr>
        <w:t xml:space="preserve">refer to </w:t>
      </w:r>
      <w:r w:rsidR="00B83135" w:rsidRPr="00F74B92">
        <w:rPr>
          <w:rFonts w:asciiTheme="majorHAnsi" w:hAnsiTheme="majorHAnsi" w:cstheme="majorHAnsi"/>
          <w:i/>
          <w:iCs/>
        </w:rPr>
        <w:t xml:space="preserve">the </w:t>
      </w:r>
      <w:hyperlink r:id="rId17" w:history="1">
        <w:r w:rsidR="00B83135" w:rsidRPr="00F74B92">
          <w:rPr>
            <w:rStyle w:val="Hyperlink"/>
            <w:rFonts w:asciiTheme="majorHAnsi" w:hAnsiTheme="majorHAnsi" w:cstheme="majorHAnsi"/>
            <w:i/>
            <w:iCs/>
          </w:rPr>
          <w:t>course timetable</w:t>
        </w:r>
      </w:hyperlink>
      <w:r w:rsidR="00B83135" w:rsidRPr="00F74B92">
        <w:rPr>
          <w:rFonts w:asciiTheme="majorHAnsi" w:hAnsiTheme="majorHAnsi" w:cstheme="majorHAnsi"/>
          <w:i/>
          <w:iCs/>
        </w:rPr>
        <w:t xml:space="preserve"> to confirm room booking. </w:t>
      </w:r>
    </w:p>
    <w:p w14:paraId="04EE4A5E" w14:textId="77777777" w:rsidR="00257F3A" w:rsidRPr="00F74B92" w:rsidRDefault="00257F3A" w:rsidP="00257F3A">
      <w:pPr>
        <w:pStyle w:val="ListParagraph"/>
        <w:numPr>
          <w:ilvl w:val="0"/>
          <w:numId w:val="7"/>
        </w:numPr>
        <w:ind w:right="-432"/>
        <w:rPr>
          <w:rFonts w:asciiTheme="majorHAnsi" w:hAnsiTheme="majorHAnsi" w:cstheme="majorHAnsi"/>
          <w:i/>
          <w:iCs/>
        </w:rPr>
      </w:pPr>
      <w:r w:rsidRPr="00F74B92">
        <w:rPr>
          <w:rFonts w:asciiTheme="majorHAnsi" w:hAnsiTheme="majorHAnsi" w:cstheme="majorHAnsi"/>
          <w:i/>
          <w:iCs/>
        </w:rPr>
        <w:t>All positions are subject to meeting minimum enrollment requirements, program requirements, and funding.</w:t>
      </w:r>
    </w:p>
    <w:p w14:paraId="622B802A" w14:textId="77777777" w:rsidR="00257F3A" w:rsidRPr="00F74B92" w:rsidRDefault="00257F3A" w:rsidP="00257F3A">
      <w:pPr>
        <w:pStyle w:val="ListParagraph"/>
        <w:rPr>
          <w:rFonts w:asciiTheme="majorHAnsi" w:hAnsiTheme="majorHAnsi" w:cstheme="majorHAnsi"/>
          <w:i/>
          <w:iCs/>
        </w:rPr>
      </w:pPr>
    </w:p>
    <w:p w14:paraId="54E7A3B9" w14:textId="77777777" w:rsidR="00257F3A" w:rsidRPr="00F74B92" w:rsidRDefault="00257F3A" w:rsidP="00257F3A">
      <w:p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Applicants for all courses are asked to include the following if you do not already have the documents on file with EPLS:</w:t>
      </w:r>
    </w:p>
    <w:p w14:paraId="4CED30D4" w14:textId="77777777" w:rsidR="00257F3A" w:rsidRPr="00F74B92" w:rsidRDefault="00257F3A" w:rsidP="00257F3A">
      <w:pPr>
        <w:numPr>
          <w:ilvl w:val="0"/>
          <w:numId w:val="6"/>
        </w:num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 xml:space="preserve">a current curriculum vitae </w:t>
      </w:r>
    </w:p>
    <w:p w14:paraId="42770663" w14:textId="77777777" w:rsidR="00257F3A" w:rsidRPr="00F74B92" w:rsidRDefault="00257F3A" w:rsidP="00257F3A">
      <w:pPr>
        <w:numPr>
          <w:ilvl w:val="0"/>
          <w:numId w:val="6"/>
        </w:num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proof of highest degree obtained</w:t>
      </w:r>
    </w:p>
    <w:p w14:paraId="6B3CE7D8" w14:textId="77777777" w:rsidR="00257F3A" w:rsidRPr="00F74B92" w:rsidRDefault="00257F3A" w:rsidP="00257F3A">
      <w:pPr>
        <w:numPr>
          <w:ilvl w:val="0"/>
          <w:numId w:val="6"/>
        </w:num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names of and contact information for at least three references</w:t>
      </w:r>
    </w:p>
    <w:p w14:paraId="1A97282E" w14:textId="77777777" w:rsidR="00257F3A" w:rsidRPr="00F74B92" w:rsidRDefault="00257F3A" w:rsidP="00257F3A">
      <w:pPr>
        <w:numPr>
          <w:ilvl w:val="0"/>
          <w:numId w:val="6"/>
        </w:num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any other information that may help the Department to assess your qualifications for teaching the course or that can speak about your teaching-related experience</w:t>
      </w:r>
    </w:p>
    <w:p w14:paraId="33ED36F7" w14:textId="77777777" w:rsidR="00257F3A" w:rsidRPr="00F74B92" w:rsidRDefault="00257F3A" w:rsidP="00257F3A">
      <w:pPr>
        <w:ind w:right="-432"/>
        <w:rPr>
          <w:rFonts w:asciiTheme="majorHAnsi" w:hAnsiTheme="majorHAnsi" w:cstheme="majorHAnsi"/>
        </w:rPr>
      </w:pPr>
    </w:p>
    <w:p w14:paraId="27B13F1F" w14:textId="0BD8B779" w:rsidR="00B870B6" w:rsidRPr="00F74B92" w:rsidRDefault="00B83135" w:rsidP="00C3101A">
      <w:pPr>
        <w:ind w:right="-432"/>
        <w:rPr>
          <w:rFonts w:asciiTheme="majorHAnsi" w:hAnsiTheme="majorHAnsi" w:cstheme="majorHAnsi"/>
          <w:highlight w:val="yellow"/>
        </w:rPr>
      </w:pPr>
      <w:r w:rsidRPr="00F74B92">
        <w:rPr>
          <w:rFonts w:asciiTheme="majorHAnsi" w:hAnsiTheme="majorHAnsi" w:cstheme="majorHAnsi"/>
        </w:rPr>
        <w:t xml:space="preserve">The deadline for </w:t>
      </w:r>
      <w:r w:rsidR="00137B2C" w:rsidRPr="00F74B92">
        <w:rPr>
          <w:rFonts w:asciiTheme="majorHAnsi" w:hAnsiTheme="majorHAnsi" w:cstheme="majorHAnsi"/>
        </w:rPr>
        <w:t>e</w:t>
      </w:r>
      <w:r w:rsidR="00421F92" w:rsidRPr="00F74B92">
        <w:rPr>
          <w:rFonts w:asciiTheme="majorHAnsi" w:hAnsiTheme="majorHAnsi" w:cstheme="majorHAnsi"/>
        </w:rPr>
        <w:t xml:space="preserve">xpressions of interest </w:t>
      </w:r>
      <w:r w:rsidRPr="00F74B92">
        <w:rPr>
          <w:rFonts w:asciiTheme="majorHAnsi" w:hAnsiTheme="majorHAnsi" w:cstheme="majorHAnsi"/>
        </w:rPr>
        <w:t xml:space="preserve">is </w:t>
      </w:r>
      <w:r w:rsidRPr="00F74B92">
        <w:rPr>
          <w:rFonts w:asciiTheme="majorHAnsi" w:hAnsiTheme="majorHAnsi" w:cstheme="majorHAnsi"/>
          <w:b/>
          <w:bCs/>
        </w:rPr>
        <w:t>4:00PM Friday</w:t>
      </w:r>
      <w:r w:rsidR="00257F3A" w:rsidRPr="00F74B92">
        <w:rPr>
          <w:rFonts w:asciiTheme="majorHAnsi" w:hAnsiTheme="majorHAnsi" w:cstheme="majorHAnsi"/>
          <w:b/>
          <w:bCs/>
        </w:rPr>
        <w:t xml:space="preserve">, </w:t>
      </w:r>
      <w:r w:rsidR="00D20B68" w:rsidRPr="00F74B92">
        <w:rPr>
          <w:rFonts w:asciiTheme="majorHAnsi" w:hAnsiTheme="majorHAnsi" w:cstheme="majorHAnsi"/>
          <w:b/>
          <w:bCs/>
        </w:rPr>
        <w:t>June 5</w:t>
      </w:r>
      <w:r w:rsidRPr="00F74B92">
        <w:rPr>
          <w:rFonts w:asciiTheme="majorHAnsi" w:hAnsiTheme="majorHAnsi" w:cstheme="majorHAnsi"/>
          <w:b/>
          <w:bCs/>
        </w:rPr>
        <w:t>, 202</w:t>
      </w:r>
      <w:r w:rsidR="00257F3A" w:rsidRPr="00F74B92">
        <w:rPr>
          <w:rFonts w:asciiTheme="majorHAnsi" w:hAnsiTheme="majorHAnsi" w:cstheme="majorHAnsi"/>
          <w:b/>
          <w:bCs/>
        </w:rPr>
        <w:t>6</w:t>
      </w:r>
      <w:r w:rsidRPr="00F74B92">
        <w:rPr>
          <w:rFonts w:asciiTheme="majorHAnsi" w:hAnsiTheme="majorHAnsi" w:cstheme="majorHAnsi"/>
        </w:rPr>
        <w:t xml:space="preserve"> and </w:t>
      </w:r>
      <w:r w:rsidR="00B870B6" w:rsidRPr="00F74B92">
        <w:rPr>
          <w:rFonts w:asciiTheme="majorHAnsi" w:hAnsiTheme="majorHAnsi" w:cstheme="majorHAnsi"/>
        </w:rPr>
        <w:t xml:space="preserve">submitted </w:t>
      </w:r>
      <w:r w:rsidRPr="00F74B92">
        <w:rPr>
          <w:rFonts w:asciiTheme="majorHAnsi" w:hAnsiTheme="majorHAnsi" w:cstheme="majorHAnsi"/>
        </w:rPr>
        <w:t xml:space="preserve">by email </w:t>
      </w:r>
      <w:r w:rsidR="00421F92" w:rsidRPr="00F74B92">
        <w:rPr>
          <w:rFonts w:asciiTheme="majorHAnsi" w:hAnsiTheme="majorHAnsi" w:cstheme="majorHAnsi"/>
        </w:rPr>
        <w:t>to</w:t>
      </w:r>
      <w:r w:rsidR="00756D71" w:rsidRPr="00F74B92">
        <w:rPr>
          <w:rFonts w:asciiTheme="majorHAnsi" w:hAnsiTheme="majorHAnsi" w:cstheme="majorHAnsi"/>
        </w:rPr>
        <w:t>:</w:t>
      </w:r>
      <w:r w:rsidR="00421F92" w:rsidRPr="00F74B92">
        <w:rPr>
          <w:rFonts w:asciiTheme="majorHAnsi" w:hAnsiTheme="majorHAnsi" w:cstheme="majorHAnsi"/>
        </w:rPr>
        <w:t xml:space="preserve"> </w:t>
      </w:r>
    </w:p>
    <w:p w14:paraId="17185E13" w14:textId="77777777" w:rsidR="00137B2C" w:rsidRPr="00F74B92" w:rsidRDefault="00137B2C" w:rsidP="00C3101A">
      <w:pPr>
        <w:ind w:right="-432"/>
        <w:rPr>
          <w:rFonts w:asciiTheme="majorHAnsi" w:hAnsiTheme="majorHAnsi" w:cstheme="majorHAnsi"/>
        </w:rPr>
      </w:pPr>
    </w:p>
    <w:p w14:paraId="55CF5450" w14:textId="64110EC3" w:rsidR="00B870B6" w:rsidRPr="00F74B92" w:rsidRDefault="00421F92" w:rsidP="00C3101A">
      <w:p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 xml:space="preserve">Dr. </w:t>
      </w:r>
      <w:r w:rsidR="00D20B68" w:rsidRPr="00F74B92">
        <w:rPr>
          <w:rFonts w:asciiTheme="majorHAnsi" w:hAnsiTheme="majorHAnsi" w:cstheme="majorHAnsi"/>
        </w:rPr>
        <w:t>Doug Magnuson</w:t>
      </w:r>
      <w:r w:rsidRPr="00F74B92">
        <w:rPr>
          <w:rFonts w:asciiTheme="majorHAnsi" w:hAnsiTheme="majorHAnsi" w:cstheme="majorHAnsi"/>
        </w:rPr>
        <w:t xml:space="preserve">, </w:t>
      </w:r>
      <w:r w:rsidR="00D20B68" w:rsidRPr="00F74B92">
        <w:rPr>
          <w:rFonts w:asciiTheme="majorHAnsi" w:hAnsiTheme="majorHAnsi" w:cstheme="majorHAnsi"/>
        </w:rPr>
        <w:t xml:space="preserve">Acting </w:t>
      </w:r>
      <w:r w:rsidR="00B870B6" w:rsidRPr="00F74B92">
        <w:rPr>
          <w:rFonts w:asciiTheme="majorHAnsi" w:hAnsiTheme="majorHAnsi" w:cstheme="majorHAnsi"/>
        </w:rPr>
        <w:t>Chair</w:t>
      </w:r>
      <w:r w:rsidR="007E6133" w:rsidRPr="00F74B92">
        <w:rPr>
          <w:rFonts w:asciiTheme="majorHAnsi" w:hAnsiTheme="majorHAnsi" w:cstheme="majorHAnsi"/>
        </w:rPr>
        <w:t xml:space="preserve"> c/o </w:t>
      </w:r>
      <w:r w:rsidR="00BB26B9" w:rsidRPr="00F74B92">
        <w:rPr>
          <w:rFonts w:asciiTheme="majorHAnsi" w:hAnsiTheme="majorHAnsi" w:cstheme="majorHAnsi"/>
        </w:rPr>
        <w:t>Shawna McNabb</w:t>
      </w:r>
      <w:r w:rsidR="007E6133" w:rsidRPr="00F74B92">
        <w:rPr>
          <w:rFonts w:asciiTheme="majorHAnsi" w:hAnsiTheme="majorHAnsi" w:cstheme="majorHAnsi"/>
        </w:rPr>
        <w:t>, Administrative Officer</w:t>
      </w:r>
    </w:p>
    <w:p w14:paraId="0DE268EB" w14:textId="77777777" w:rsidR="00044D2F" w:rsidRPr="00F74B92" w:rsidRDefault="00421F92" w:rsidP="00C3101A">
      <w:p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Department of Educational Psychology &amp; Leadership Studies</w:t>
      </w:r>
    </w:p>
    <w:p w14:paraId="41DFA968" w14:textId="77777777" w:rsidR="00044D2F" w:rsidRPr="00F74B92" w:rsidRDefault="00044D2F" w:rsidP="00C3101A">
      <w:p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lastRenderedPageBreak/>
        <w:t>PO Box 1700 STN CSC</w:t>
      </w:r>
    </w:p>
    <w:p w14:paraId="3C72D0CD" w14:textId="730D4F7E" w:rsidR="00044D2F" w:rsidRPr="00F74B92" w:rsidRDefault="00044D2F" w:rsidP="00C3101A">
      <w:pPr>
        <w:ind w:right="-432"/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Victoria, BC V8W 2Y2</w:t>
      </w:r>
    </w:p>
    <w:p w14:paraId="5890C84A" w14:textId="31774382" w:rsidR="00421F92" w:rsidRPr="00F74B92" w:rsidRDefault="00BB26B9" w:rsidP="00C3101A">
      <w:pPr>
        <w:ind w:right="-432"/>
        <w:rPr>
          <w:rFonts w:asciiTheme="majorHAnsi" w:hAnsiTheme="majorHAnsi" w:cstheme="majorHAnsi"/>
        </w:rPr>
      </w:pPr>
      <w:hyperlink r:id="rId18" w:history="1">
        <w:r w:rsidRPr="00F74B92">
          <w:rPr>
            <w:rStyle w:val="Hyperlink"/>
            <w:rFonts w:asciiTheme="majorHAnsi" w:hAnsiTheme="majorHAnsi" w:cstheme="majorHAnsi"/>
          </w:rPr>
          <w:t>smcnabb</w:t>
        </w:r>
        <w:r w:rsidR="007E6133" w:rsidRPr="00F74B92">
          <w:rPr>
            <w:rStyle w:val="Hyperlink"/>
            <w:rFonts w:asciiTheme="majorHAnsi" w:hAnsiTheme="majorHAnsi" w:cstheme="majorHAnsi"/>
          </w:rPr>
          <w:t>@uvic.ca</w:t>
        </w:r>
      </w:hyperlink>
    </w:p>
    <w:p w14:paraId="4A057334" w14:textId="77777777" w:rsidR="00257F3A" w:rsidRPr="00F74B92" w:rsidRDefault="00257F3A" w:rsidP="00C3101A">
      <w:pPr>
        <w:ind w:right="-432"/>
        <w:rPr>
          <w:rFonts w:asciiTheme="majorHAnsi" w:hAnsiTheme="majorHAnsi" w:cstheme="majorHAnsi"/>
        </w:rPr>
      </w:pPr>
    </w:p>
    <w:p w14:paraId="44FB7827" w14:textId="77777777" w:rsidR="001B284E" w:rsidRPr="00F74B92" w:rsidRDefault="001B284E" w:rsidP="00C3101A">
      <w:pPr>
        <w:ind w:right="-432"/>
        <w:rPr>
          <w:rFonts w:asciiTheme="majorHAnsi" w:hAnsiTheme="majorHAnsi" w:cstheme="majorHAnsi"/>
        </w:rPr>
      </w:pPr>
    </w:p>
    <w:p w14:paraId="7E3D377F" w14:textId="77777777" w:rsidR="001B284E" w:rsidRPr="00F74B92" w:rsidRDefault="001B284E" w:rsidP="00C3101A">
      <w:pPr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Th</w:t>
      </w:r>
      <w:r w:rsidR="00B870B6" w:rsidRPr="00F74B92">
        <w:rPr>
          <w:rFonts w:asciiTheme="majorHAnsi" w:hAnsiTheme="majorHAnsi" w:cstheme="majorHAnsi"/>
        </w:rPr>
        <w:t xml:space="preserve">e University of Victoria is an </w:t>
      </w:r>
      <w:r w:rsidRPr="00F74B92">
        <w:rPr>
          <w:rFonts w:asciiTheme="majorHAnsi" w:hAnsiTheme="majorHAnsi" w:cstheme="majorHAnsi"/>
        </w:rPr>
        <w:t>equity employer and encourages applications from women, persons with disab</w:t>
      </w:r>
      <w:r w:rsidR="00B870B6" w:rsidRPr="00F74B92">
        <w:rPr>
          <w:rFonts w:asciiTheme="majorHAnsi" w:hAnsiTheme="majorHAnsi" w:cstheme="majorHAnsi"/>
        </w:rPr>
        <w:t xml:space="preserve">ilities, visible minorities, </w:t>
      </w:r>
      <w:r w:rsidRPr="00F74B92">
        <w:rPr>
          <w:rFonts w:asciiTheme="majorHAnsi" w:hAnsiTheme="majorHAnsi" w:cstheme="majorHAnsi"/>
        </w:rPr>
        <w:t>aboriginal persons, people of all sexual orientations and genders, and others who may contribute t</w:t>
      </w:r>
      <w:r w:rsidR="00B870B6" w:rsidRPr="00F74B92">
        <w:rPr>
          <w:rFonts w:asciiTheme="majorHAnsi" w:hAnsiTheme="majorHAnsi" w:cstheme="majorHAnsi"/>
        </w:rPr>
        <w:t>o</w:t>
      </w:r>
      <w:r w:rsidRPr="00F74B92">
        <w:rPr>
          <w:rFonts w:asciiTheme="majorHAnsi" w:hAnsiTheme="majorHAnsi" w:cstheme="majorHAnsi"/>
        </w:rPr>
        <w:t xml:space="preserve"> the further diversification of the University.</w:t>
      </w:r>
    </w:p>
    <w:p w14:paraId="0D870058" w14:textId="77777777" w:rsidR="00B870B6" w:rsidRPr="00F74B92" w:rsidRDefault="00B870B6" w:rsidP="00C3101A">
      <w:pPr>
        <w:rPr>
          <w:rFonts w:asciiTheme="majorHAnsi" w:hAnsiTheme="majorHAnsi" w:cstheme="majorHAnsi"/>
        </w:rPr>
      </w:pPr>
    </w:p>
    <w:p w14:paraId="0F24F787" w14:textId="77777777" w:rsidR="00B870B6" w:rsidRPr="00F74B92" w:rsidRDefault="00B870B6" w:rsidP="00C3101A">
      <w:pPr>
        <w:rPr>
          <w:rFonts w:asciiTheme="majorHAnsi" w:hAnsiTheme="majorHAnsi" w:cstheme="majorHAnsi"/>
        </w:rPr>
      </w:pPr>
      <w:r w:rsidRPr="00F74B92">
        <w:rPr>
          <w:rFonts w:asciiTheme="majorHAnsi" w:hAnsiTheme="majorHAnsi" w:cstheme="majorHAnsi"/>
        </w:rPr>
        <w:t>The University reserves the right to fill additional teaching assignments from the pool of applicants for this posting.</w:t>
      </w:r>
    </w:p>
    <w:p w14:paraId="5B3AFEED" w14:textId="77777777" w:rsidR="00F717D4" w:rsidRPr="00F74B92" w:rsidRDefault="00F717D4" w:rsidP="00C3101A">
      <w:pPr>
        <w:rPr>
          <w:rFonts w:asciiTheme="majorHAnsi" w:hAnsiTheme="majorHAnsi" w:cstheme="majorHAnsi"/>
        </w:rPr>
      </w:pPr>
    </w:p>
    <w:p w14:paraId="53AE636A" w14:textId="77777777" w:rsidR="00F717D4" w:rsidRPr="00F74B92" w:rsidRDefault="00F717D4" w:rsidP="001B284E">
      <w:pPr>
        <w:rPr>
          <w:rFonts w:asciiTheme="majorHAnsi" w:hAnsiTheme="majorHAnsi" w:cstheme="majorHAnsi"/>
          <w:color w:val="000000"/>
          <w:sz w:val="22"/>
          <w:szCs w:val="22"/>
        </w:rPr>
      </w:pPr>
    </w:p>
    <w:sectPr w:rsidR="00F717D4" w:rsidRPr="00F74B92" w:rsidSect="007C77E5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9661" w14:textId="77777777" w:rsidR="00425411" w:rsidRDefault="00425411" w:rsidP="00517DFA">
      <w:r>
        <w:separator/>
      </w:r>
    </w:p>
  </w:endnote>
  <w:endnote w:type="continuationSeparator" w:id="0">
    <w:p w14:paraId="7743AC0D" w14:textId="77777777" w:rsidR="00425411" w:rsidRDefault="00425411" w:rsidP="0051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15550381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13C484" w14:textId="524B5064" w:rsidR="00206670" w:rsidRPr="00206670" w:rsidRDefault="00206670">
            <w:pPr>
              <w:pStyle w:val="Footer"/>
              <w:jc w:val="right"/>
              <w:rPr>
                <w:rFonts w:asciiTheme="majorHAnsi" w:hAnsiTheme="majorHAnsi" w:cstheme="majorHAnsi"/>
              </w:rPr>
            </w:pPr>
            <w:r w:rsidRPr="00206670">
              <w:rPr>
                <w:rFonts w:asciiTheme="majorHAnsi" w:hAnsiTheme="majorHAnsi" w:cstheme="majorHAnsi"/>
              </w:rPr>
              <w:t xml:space="preserve">Page </w:t>
            </w:r>
            <w:r w:rsidRPr="00206670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206670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206670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206670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06670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206670">
              <w:rPr>
                <w:rFonts w:asciiTheme="majorHAnsi" w:hAnsiTheme="majorHAnsi" w:cstheme="majorHAnsi"/>
              </w:rPr>
              <w:t xml:space="preserve"> of </w:t>
            </w:r>
            <w:r w:rsidRPr="00206670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206670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206670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206670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06670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68F341F8" w14:textId="77777777" w:rsidR="00206670" w:rsidRDefault="0020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2BB0" w14:textId="77777777" w:rsidR="00425411" w:rsidRDefault="00425411" w:rsidP="00517DFA">
      <w:r>
        <w:separator/>
      </w:r>
    </w:p>
  </w:footnote>
  <w:footnote w:type="continuationSeparator" w:id="0">
    <w:p w14:paraId="5420D791" w14:textId="77777777" w:rsidR="00425411" w:rsidRDefault="00425411" w:rsidP="0051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2E48" w14:textId="77777777" w:rsidR="00517DFA" w:rsidRPr="00BB26B9" w:rsidRDefault="00517DFA" w:rsidP="0015427C">
    <w:pPr>
      <w:pStyle w:val="Header"/>
      <w:jc w:val="center"/>
      <w:rPr>
        <w:rFonts w:asciiTheme="majorHAnsi" w:hAnsiTheme="majorHAnsi" w:cstheme="majorHAnsi"/>
        <w:b/>
      </w:rPr>
    </w:pPr>
    <w:r w:rsidRPr="00BB26B9">
      <w:rPr>
        <w:rFonts w:asciiTheme="majorHAnsi" w:hAnsiTheme="majorHAnsi" w:cstheme="majorHAnsi"/>
        <w:b/>
      </w:rPr>
      <w:t>UNIVERSITY OF VICTORIA</w:t>
    </w:r>
  </w:p>
  <w:p w14:paraId="79C5429D" w14:textId="77777777" w:rsidR="00517DFA" w:rsidRPr="00BB26B9" w:rsidRDefault="00517DFA" w:rsidP="0015427C">
    <w:pPr>
      <w:pStyle w:val="Header"/>
      <w:jc w:val="center"/>
      <w:rPr>
        <w:rFonts w:asciiTheme="majorHAnsi" w:hAnsiTheme="majorHAnsi" w:cstheme="majorHAnsi"/>
        <w:b/>
      </w:rPr>
    </w:pPr>
    <w:r w:rsidRPr="00BB26B9">
      <w:rPr>
        <w:rFonts w:asciiTheme="majorHAnsi" w:hAnsiTheme="majorHAnsi" w:cstheme="majorHAnsi"/>
        <w:b/>
      </w:rPr>
      <w:t>Department of Educational Psychology &amp; Leadership Studies</w:t>
    </w:r>
  </w:p>
  <w:p w14:paraId="4D80D8CD" w14:textId="33E7BD90" w:rsidR="0015427C" w:rsidRPr="00517DFA" w:rsidRDefault="00425411" w:rsidP="0015427C">
    <w:pPr>
      <w:pStyle w:val="Header"/>
      <w:jc w:val="center"/>
      <w:rPr>
        <w:b/>
      </w:rPr>
    </w:pPr>
    <w:r>
      <w:rPr>
        <w:rFonts w:asciiTheme="majorHAnsi" w:hAnsiTheme="majorHAnsi" w:cstheme="majorHAnsi"/>
        <w:b/>
      </w:rPr>
      <w:pict w14:anchorId="5C600850">
        <v:rect id="_x0000_i1025" style="width:0;height:1.5pt" o:hralign="center" o:hrstd="t" o:hr="t" fillcolor="#a0a0a0" stroked="f"/>
      </w:pict>
    </w:r>
  </w:p>
  <w:p w14:paraId="5946BB2E" w14:textId="77777777" w:rsidR="00517DFA" w:rsidRDefault="00517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558"/>
    <w:multiLevelType w:val="hybridMultilevel"/>
    <w:tmpl w:val="FAE25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34FC"/>
    <w:multiLevelType w:val="hybridMultilevel"/>
    <w:tmpl w:val="C03C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572"/>
    <w:multiLevelType w:val="hybridMultilevel"/>
    <w:tmpl w:val="B666F66C"/>
    <w:lvl w:ilvl="0" w:tplc="D098CF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25626"/>
    <w:multiLevelType w:val="hybridMultilevel"/>
    <w:tmpl w:val="528652FE"/>
    <w:lvl w:ilvl="0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42F570A7"/>
    <w:multiLevelType w:val="hybridMultilevel"/>
    <w:tmpl w:val="1426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78B2"/>
    <w:multiLevelType w:val="hybridMultilevel"/>
    <w:tmpl w:val="935CB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F0CF0"/>
    <w:multiLevelType w:val="hybridMultilevel"/>
    <w:tmpl w:val="E6D4E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97415">
    <w:abstractNumId w:val="2"/>
  </w:num>
  <w:num w:numId="2" w16cid:durableId="13919278">
    <w:abstractNumId w:val="0"/>
  </w:num>
  <w:num w:numId="3" w16cid:durableId="2057771891">
    <w:abstractNumId w:val="4"/>
  </w:num>
  <w:num w:numId="4" w16cid:durableId="1869175304">
    <w:abstractNumId w:val="1"/>
  </w:num>
  <w:num w:numId="5" w16cid:durableId="1988782791">
    <w:abstractNumId w:val="3"/>
  </w:num>
  <w:num w:numId="6" w16cid:durableId="2045060466">
    <w:abstractNumId w:val="5"/>
  </w:num>
  <w:num w:numId="7" w16cid:durableId="1187140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DC"/>
    <w:rsid w:val="00006E44"/>
    <w:rsid w:val="00011783"/>
    <w:rsid w:val="00030F25"/>
    <w:rsid w:val="00033149"/>
    <w:rsid w:val="00034123"/>
    <w:rsid w:val="00044D2F"/>
    <w:rsid w:val="000553AC"/>
    <w:rsid w:val="000701DE"/>
    <w:rsid w:val="00071E9A"/>
    <w:rsid w:val="000A12DA"/>
    <w:rsid w:val="001035D2"/>
    <w:rsid w:val="0012258A"/>
    <w:rsid w:val="001342BD"/>
    <w:rsid w:val="00137B2C"/>
    <w:rsid w:val="00152148"/>
    <w:rsid w:val="0015427C"/>
    <w:rsid w:val="00174448"/>
    <w:rsid w:val="001B229B"/>
    <w:rsid w:val="001B284E"/>
    <w:rsid w:val="001B4452"/>
    <w:rsid w:val="001D2D0A"/>
    <w:rsid w:val="001D7109"/>
    <w:rsid w:val="001E26A1"/>
    <w:rsid w:val="001E62EE"/>
    <w:rsid w:val="001F00FE"/>
    <w:rsid w:val="002061C6"/>
    <w:rsid w:val="00206670"/>
    <w:rsid w:val="0021025F"/>
    <w:rsid w:val="0022321C"/>
    <w:rsid w:val="00247F74"/>
    <w:rsid w:val="00257F3A"/>
    <w:rsid w:val="00291CE5"/>
    <w:rsid w:val="002B3E0D"/>
    <w:rsid w:val="002D2E06"/>
    <w:rsid w:val="002E340E"/>
    <w:rsid w:val="00304602"/>
    <w:rsid w:val="00351B5C"/>
    <w:rsid w:val="0036130A"/>
    <w:rsid w:val="00367DD8"/>
    <w:rsid w:val="00384153"/>
    <w:rsid w:val="00384512"/>
    <w:rsid w:val="00392C14"/>
    <w:rsid w:val="003A055B"/>
    <w:rsid w:val="003D5F3D"/>
    <w:rsid w:val="003E76EC"/>
    <w:rsid w:val="00420484"/>
    <w:rsid w:val="00421F92"/>
    <w:rsid w:val="00425411"/>
    <w:rsid w:val="00435949"/>
    <w:rsid w:val="004415CD"/>
    <w:rsid w:val="004431AB"/>
    <w:rsid w:val="004474C2"/>
    <w:rsid w:val="004566D6"/>
    <w:rsid w:val="00470553"/>
    <w:rsid w:val="00486D42"/>
    <w:rsid w:val="00487302"/>
    <w:rsid w:val="00516A6D"/>
    <w:rsid w:val="00517DFA"/>
    <w:rsid w:val="00540BFB"/>
    <w:rsid w:val="00560DAA"/>
    <w:rsid w:val="00590395"/>
    <w:rsid w:val="005A6014"/>
    <w:rsid w:val="005B08C1"/>
    <w:rsid w:val="005C154A"/>
    <w:rsid w:val="00606447"/>
    <w:rsid w:val="00632CDC"/>
    <w:rsid w:val="00661740"/>
    <w:rsid w:val="006A4466"/>
    <w:rsid w:val="007168A0"/>
    <w:rsid w:val="0072482E"/>
    <w:rsid w:val="00756D71"/>
    <w:rsid w:val="007674B5"/>
    <w:rsid w:val="00771BD5"/>
    <w:rsid w:val="007A2811"/>
    <w:rsid w:val="007B3F65"/>
    <w:rsid w:val="007B426A"/>
    <w:rsid w:val="007C2020"/>
    <w:rsid w:val="007C77E5"/>
    <w:rsid w:val="007E6133"/>
    <w:rsid w:val="007F0912"/>
    <w:rsid w:val="007F3398"/>
    <w:rsid w:val="00810C38"/>
    <w:rsid w:val="008209AC"/>
    <w:rsid w:val="00825062"/>
    <w:rsid w:val="00833B90"/>
    <w:rsid w:val="00856E39"/>
    <w:rsid w:val="00867C86"/>
    <w:rsid w:val="0087004F"/>
    <w:rsid w:val="008911B5"/>
    <w:rsid w:val="008A2458"/>
    <w:rsid w:val="008C415C"/>
    <w:rsid w:val="008E7C81"/>
    <w:rsid w:val="00941BDA"/>
    <w:rsid w:val="00942F47"/>
    <w:rsid w:val="00982EEF"/>
    <w:rsid w:val="009A4225"/>
    <w:rsid w:val="009A440B"/>
    <w:rsid w:val="00A235FA"/>
    <w:rsid w:val="00A45A11"/>
    <w:rsid w:val="00A62EF8"/>
    <w:rsid w:val="00A74013"/>
    <w:rsid w:val="00A81F46"/>
    <w:rsid w:val="00A835B6"/>
    <w:rsid w:val="00A934F6"/>
    <w:rsid w:val="00A94102"/>
    <w:rsid w:val="00A95E21"/>
    <w:rsid w:val="00AD0539"/>
    <w:rsid w:val="00AF0861"/>
    <w:rsid w:val="00AF0AF3"/>
    <w:rsid w:val="00B36CB1"/>
    <w:rsid w:val="00B43156"/>
    <w:rsid w:val="00B432E9"/>
    <w:rsid w:val="00B83135"/>
    <w:rsid w:val="00B870B6"/>
    <w:rsid w:val="00BB26B9"/>
    <w:rsid w:val="00BD0C29"/>
    <w:rsid w:val="00C3101A"/>
    <w:rsid w:val="00C71F78"/>
    <w:rsid w:val="00C918DE"/>
    <w:rsid w:val="00CC07B8"/>
    <w:rsid w:val="00CF27B8"/>
    <w:rsid w:val="00CF7F89"/>
    <w:rsid w:val="00D00353"/>
    <w:rsid w:val="00D208A9"/>
    <w:rsid w:val="00D20B68"/>
    <w:rsid w:val="00D35A34"/>
    <w:rsid w:val="00D7680C"/>
    <w:rsid w:val="00DA394C"/>
    <w:rsid w:val="00E14FAE"/>
    <w:rsid w:val="00E67CBD"/>
    <w:rsid w:val="00E71210"/>
    <w:rsid w:val="00EC1D59"/>
    <w:rsid w:val="00ED0542"/>
    <w:rsid w:val="00F171EB"/>
    <w:rsid w:val="00F36F28"/>
    <w:rsid w:val="00F6006B"/>
    <w:rsid w:val="00F717D4"/>
    <w:rsid w:val="00F74B92"/>
    <w:rsid w:val="00FA7DF6"/>
    <w:rsid w:val="00F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7B2614"/>
  <w14:defaultImageDpi w14:val="330"/>
  <w15:docId w15:val="{07A9F9CE-6ED6-4750-B5D2-41F7F70F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28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7B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1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7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17D4"/>
  </w:style>
  <w:style w:type="paragraph" w:styleId="Header">
    <w:name w:val="header"/>
    <w:basedOn w:val="Normal"/>
    <w:link w:val="HeaderChar"/>
    <w:uiPriority w:val="99"/>
    <w:unhideWhenUsed/>
    <w:rsid w:val="00517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DFA"/>
  </w:style>
  <w:style w:type="paragraph" w:styleId="Footer">
    <w:name w:val="footer"/>
    <w:basedOn w:val="Normal"/>
    <w:link w:val="FooterChar"/>
    <w:uiPriority w:val="99"/>
    <w:unhideWhenUsed/>
    <w:rsid w:val="00517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ic.ca/calendar/future/undergrad/index.php" TargetMode="External"/><Relationship Id="rId13" Type="http://schemas.openxmlformats.org/officeDocument/2006/relationships/hyperlink" Target="https://www.uvic.ca/calendar/future/undergrad/index.php" TargetMode="External"/><Relationship Id="rId18" Type="http://schemas.openxmlformats.org/officeDocument/2006/relationships/hyperlink" Target="mailto:smcnabb@uvic.c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vic.ca/calendar/future/undergrad/index.php" TargetMode="External"/><Relationship Id="rId12" Type="http://schemas.openxmlformats.org/officeDocument/2006/relationships/hyperlink" Target="https://www.uvic.ca/calendar/future/undergrad/index.php" TargetMode="External"/><Relationship Id="rId17" Type="http://schemas.openxmlformats.org/officeDocument/2006/relationships/hyperlink" Target="https://www.uvic.ca/students/academics/course-timetab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vic.ca/calendar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ic.ca/calendar/future/undergrad/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vic.ca/calendar/future/undergrad/index.php" TargetMode="External"/><Relationship Id="rId10" Type="http://schemas.openxmlformats.org/officeDocument/2006/relationships/hyperlink" Target="https://www.uvic.ca/calendar/future/undergrad/index.ph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Learners%20and%20Learning%20Environments" TargetMode="External"/><Relationship Id="rId14" Type="http://schemas.openxmlformats.org/officeDocument/2006/relationships/hyperlink" Target="https://www.uvic.ca/calendar/future/undergrad/index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3967</Characters>
  <Application>Microsoft Office Word</Application>
  <DocSecurity>0</DocSecurity>
  <Lines>127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of Education</dc:creator>
  <cp:keywords/>
  <dc:description/>
  <cp:lastModifiedBy>Shawna McNabb</cp:lastModifiedBy>
  <cp:revision>3</cp:revision>
  <cp:lastPrinted>2012-07-23T22:09:00Z</cp:lastPrinted>
  <dcterms:created xsi:type="dcterms:W3CDTF">2026-05-22T19:40:00Z</dcterms:created>
  <dcterms:modified xsi:type="dcterms:W3CDTF">2026-05-22T19:40:00Z</dcterms:modified>
</cp:coreProperties>
</file>