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5D5A" w14:textId="77777777" w:rsidR="008E1836" w:rsidRPr="00CE0903" w:rsidRDefault="00927B52" w:rsidP="0067005E">
      <w:pPr>
        <w:jc w:val="center"/>
        <w:rPr>
          <w:b/>
          <w:bCs/>
          <w:sz w:val="22"/>
          <w:szCs w:val="22"/>
        </w:rPr>
      </w:pPr>
      <w:r w:rsidRPr="00CE0903">
        <w:rPr>
          <w:b/>
          <w:bCs/>
          <w:sz w:val="22"/>
          <w:szCs w:val="22"/>
        </w:rPr>
        <w:t>Faculty of Education</w:t>
      </w:r>
      <w:r w:rsidR="00BF3E6D" w:rsidRPr="00CE0903">
        <w:rPr>
          <w:b/>
          <w:bCs/>
          <w:sz w:val="22"/>
          <w:szCs w:val="22"/>
        </w:rPr>
        <w:t>’s</w:t>
      </w:r>
      <w:r w:rsidRPr="00CE0903">
        <w:rPr>
          <w:b/>
          <w:bCs/>
          <w:sz w:val="22"/>
          <w:szCs w:val="22"/>
        </w:rPr>
        <w:t xml:space="preserve"> Equity, Diversity</w:t>
      </w:r>
      <w:r w:rsidR="00BF3E6D" w:rsidRPr="00CE0903">
        <w:rPr>
          <w:b/>
          <w:bCs/>
          <w:sz w:val="22"/>
          <w:szCs w:val="22"/>
        </w:rPr>
        <w:t xml:space="preserve">, Inclusion </w:t>
      </w:r>
      <w:r w:rsidRPr="00CE0903">
        <w:rPr>
          <w:b/>
          <w:bCs/>
          <w:sz w:val="22"/>
          <w:szCs w:val="22"/>
        </w:rPr>
        <w:t>and Decolonization</w:t>
      </w:r>
      <w:r w:rsidR="00BF3E6D" w:rsidRPr="00CE0903">
        <w:rPr>
          <w:b/>
          <w:bCs/>
          <w:sz w:val="22"/>
          <w:szCs w:val="22"/>
        </w:rPr>
        <w:t xml:space="preserve"> (EDID)</w:t>
      </w:r>
      <w:r w:rsidRPr="00CE0903">
        <w:rPr>
          <w:b/>
          <w:bCs/>
          <w:sz w:val="22"/>
          <w:szCs w:val="22"/>
        </w:rPr>
        <w:t xml:space="preserve"> Statement</w:t>
      </w:r>
      <w:r w:rsidR="0067005E" w:rsidRPr="00CE0903">
        <w:rPr>
          <w:b/>
          <w:bCs/>
          <w:sz w:val="22"/>
          <w:szCs w:val="22"/>
        </w:rPr>
        <w:t xml:space="preserve"> </w:t>
      </w:r>
    </w:p>
    <w:p w14:paraId="28E01BA7" w14:textId="6E56CE7B" w:rsidR="0067005E" w:rsidRPr="00CE0903" w:rsidRDefault="00E32215" w:rsidP="0067005E">
      <w:pPr>
        <w:jc w:val="center"/>
        <w:rPr>
          <w:b/>
          <w:bCs/>
          <w:sz w:val="22"/>
          <w:szCs w:val="22"/>
        </w:rPr>
      </w:pPr>
      <w:r w:rsidRPr="00CE0903">
        <w:rPr>
          <w:b/>
          <w:bCs/>
          <w:sz w:val="22"/>
          <w:szCs w:val="22"/>
        </w:rPr>
        <w:t xml:space="preserve">(Full </w:t>
      </w:r>
      <w:r w:rsidR="008E1836" w:rsidRPr="00CE0903">
        <w:rPr>
          <w:b/>
          <w:bCs/>
          <w:sz w:val="22"/>
          <w:szCs w:val="22"/>
        </w:rPr>
        <w:t>Versio</w:t>
      </w:r>
      <w:r w:rsidR="00CE0903">
        <w:rPr>
          <w:b/>
          <w:bCs/>
          <w:sz w:val="22"/>
          <w:szCs w:val="22"/>
        </w:rPr>
        <w:t>n</w:t>
      </w:r>
      <w:r w:rsidRPr="00CE0903">
        <w:rPr>
          <w:b/>
          <w:bCs/>
          <w:sz w:val="22"/>
          <w:szCs w:val="22"/>
        </w:rPr>
        <w:t>)</w:t>
      </w:r>
    </w:p>
    <w:p w14:paraId="2E5C2EF2" w14:textId="77777777" w:rsidR="00927B52" w:rsidRPr="00CE0903" w:rsidRDefault="00927B52" w:rsidP="00927B52">
      <w:pPr>
        <w:rPr>
          <w:sz w:val="20"/>
          <w:szCs w:val="20"/>
        </w:rPr>
      </w:pPr>
    </w:p>
    <w:p w14:paraId="59778B3D" w14:textId="12FA301C" w:rsidR="001D3D66" w:rsidRPr="00CE0903" w:rsidRDefault="00E45062" w:rsidP="001D3D66">
      <w:pPr>
        <w:rPr>
          <w:sz w:val="21"/>
          <w:szCs w:val="21"/>
        </w:rPr>
      </w:pPr>
      <w:r w:rsidRPr="00CE0903">
        <w:rPr>
          <w:sz w:val="21"/>
          <w:szCs w:val="21"/>
        </w:rPr>
        <w:t>Our</w:t>
      </w:r>
      <w:r w:rsidR="00927B52" w:rsidRPr="00CE0903">
        <w:rPr>
          <w:sz w:val="21"/>
          <w:szCs w:val="21"/>
        </w:rPr>
        <w:t xml:space="preserve"> Faculty of Education </w:t>
      </w:r>
      <w:r w:rsidR="0054081C" w:rsidRPr="00CE0903">
        <w:rPr>
          <w:sz w:val="21"/>
          <w:szCs w:val="21"/>
        </w:rPr>
        <w:t>acknowledges and respect</w:t>
      </w:r>
      <w:r w:rsidR="002E410E" w:rsidRPr="00CE0903">
        <w:rPr>
          <w:sz w:val="21"/>
          <w:szCs w:val="21"/>
        </w:rPr>
        <w:t>s</w:t>
      </w:r>
      <w:r w:rsidR="0054081C" w:rsidRPr="00CE0903">
        <w:rPr>
          <w:sz w:val="21"/>
          <w:szCs w:val="21"/>
        </w:rPr>
        <w:t xml:space="preserve"> the privilege and responsibility </w:t>
      </w:r>
      <w:r w:rsidR="00952BDA" w:rsidRPr="00CE0903">
        <w:rPr>
          <w:sz w:val="21"/>
          <w:szCs w:val="21"/>
        </w:rPr>
        <w:t>we have to</w:t>
      </w:r>
      <w:r w:rsidR="0054081C" w:rsidRPr="00CE0903">
        <w:rPr>
          <w:sz w:val="21"/>
          <w:szCs w:val="21"/>
        </w:rPr>
        <w:t xml:space="preserve"> </w:t>
      </w:r>
      <w:r w:rsidR="004F428B" w:rsidRPr="00CE0903">
        <w:rPr>
          <w:sz w:val="21"/>
          <w:szCs w:val="21"/>
        </w:rPr>
        <w:t>live</w:t>
      </w:r>
      <w:r w:rsidR="00927B52" w:rsidRPr="00CE0903">
        <w:rPr>
          <w:sz w:val="21"/>
          <w:szCs w:val="21"/>
        </w:rPr>
        <w:t xml:space="preserve"> and learn together on the </w:t>
      </w:r>
      <w:r w:rsidR="009D3400" w:rsidRPr="00CE0903">
        <w:rPr>
          <w:sz w:val="21"/>
          <w:szCs w:val="21"/>
        </w:rPr>
        <w:t xml:space="preserve">traditional </w:t>
      </w:r>
      <w:r w:rsidR="00927B52" w:rsidRPr="00CE0903">
        <w:rPr>
          <w:sz w:val="21"/>
          <w:szCs w:val="21"/>
        </w:rPr>
        <w:t xml:space="preserve">territories of the lək̓ʷəŋən </w:t>
      </w:r>
      <w:r w:rsidR="007440CF" w:rsidRPr="00CE0903">
        <w:rPr>
          <w:sz w:val="21"/>
          <w:szCs w:val="21"/>
        </w:rPr>
        <w:t>Peoples</w:t>
      </w:r>
      <w:r w:rsidR="00927B52" w:rsidRPr="00CE0903">
        <w:rPr>
          <w:sz w:val="21"/>
          <w:szCs w:val="21"/>
        </w:rPr>
        <w:t xml:space="preserve"> </w:t>
      </w:r>
      <w:r w:rsidR="00F65799" w:rsidRPr="00CE0903">
        <w:rPr>
          <w:sz w:val="21"/>
          <w:szCs w:val="21"/>
        </w:rPr>
        <w:t>including the</w:t>
      </w:r>
      <w:r w:rsidR="00927B52" w:rsidRPr="00CE0903">
        <w:rPr>
          <w:sz w:val="21"/>
          <w:szCs w:val="21"/>
        </w:rPr>
        <w:t xml:space="preserve"> Songhees, Esquimalt and </w:t>
      </w:r>
      <w:r w:rsidR="00927B52" w:rsidRPr="00CE0903">
        <w:rPr>
          <w:sz w:val="21"/>
          <w:szCs w:val="21"/>
          <w:u w:val="single"/>
        </w:rPr>
        <w:t>W</w:t>
      </w:r>
      <w:r w:rsidR="00927B52" w:rsidRPr="00CE0903">
        <w:rPr>
          <w:sz w:val="21"/>
          <w:szCs w:val="21"/>
        </w:rPr>
        <w:t xml:space="preserve">SÁNEĆ </w:t>
      </w:r>
      <w:r w:rsidR="00F65799" w:rsidRPr="00CE0903">
        <w:rPr>
          <w:sz w:val="21"/>
          <w:szCs w:val="21"/>
        </w:rPr>
        <w:t>P</w:t>
      </w:r>
      <w:r w:rsidR="00927B52" w:rsidRPr="00CE0903">
        <w:rPr>
          <w:sz w:val="21"/>
          <w:szCs w:val="21"/>
        </w:rPr>
        <w:t>eoples whose</w:t>
      </w:r>
      <w:r w:rsidR="00EC0533" w:rsidRPr="00CE0903">
        <w:rPr>
          <w:sz w:val="21"/>
          <w:szCs w:val="21"/>
        </w:rPr>
        <w:t xml:space="preserve"> unwavering</w:t>
      </w:r>
      <w:r w:rsidR="00635AC0" w:rsidRPr="00CE0903">
        <w:rPr>
          <w:sz w:val="21"/>
          <w:szCs w:val="21"/>
        </w:rPr>
        <w:t xml:space="preserve"> </w:t>
      </w:r>
      <w:r w:rsidR="00927B52" w:rsidRPr="00CE0903">
        <w:rPr>
          <w:sz w:val="21"/>
          <w:szCs w:val="21"/>
        </w:rPr>
        <w:t>relationship</w:t>
      </w:r>
      <w:r w:rsidR="00EC0533" w:rsidRPr="00CE0903">
        <w:rPr>
          <w:sz w:val="21"/>
          <w:szCs w:val="21"/>
        </w:rPr>
        <w:t xml:space="preserve"> </w:t>
      </w:r>
      <w:r w:rsidR="00927B52" w:rsidRPr="00CE0903">
        <w:rPr>
          <w:sz w:val="21"/>
          <w:szCs w:val="21"/>
        </w:rPr>
        <w:t xml:space="preserve">with the land continue to this day. </w:t>
      </w:r>
      <w:r w:rsidR="00366EA8" w:rsidRPr="00CE0903">
        <w:rPr>
          <w:sz w:val="21"/>
          <w:szCs w:val="21"/>
        </w:rPr>
        <w:t xml:space="preserve">In this regard, </w:t>
      </w:r>
      <w:r w:rsidR="00BC65E0" w:rsidRPr="00CE0903">
        <w:rPr>
          <w:sz w:val="21"/>
          <w:szCs w:val="21"/>
        </w:rPr>
        <w:t>we</w:t>
      </w:r>
      <w:r w:rsidR="001101D8" w:rsidRPr="00CE0903">
        <w:rPr>
          <w:sz w:val="21"/>
          <w:szCs w:val="21"/>
        </w:rPr>
        <w:t xml:space="preserve"> commit to including the fo</w:t>
      </w:r>
      <w:r w:rsidR="00123A6B" w:rsidRPr="00CE0903">
        <w:rPr>
          <w:sz w:val="21"/>
          <w:szCs w:val="21"/>
        </w:rPr>
        <w:t>llowing</w:t>
      </w:r>
      <w:r w:rsidR="00CC1E4C" w:rsidRPr="00CE0903">
        <w:rPr>
          <w:sz w:val="21"/>
          <w:szCs w:val="21"/>
        </w:rPr>
        <w:t xml:space="preserve"> local</w:t>
      </w:r>
      <w:r w:rsidR="00637293" w:rsidRPr="00CE0903">
        <w:rPr>
          <w:sz w:val="21"/>
          <w:szCs w:val="21"/>
        </w:rPr>
        <w:t xml:space="preserve"> Coast Salish values and teachings</w:t>
      </w:r>
      <w:r w:rsidR="00CC1E4C" w:rsidRPr="00CE0903">
        <w:rPr>
          <w:sz w:val="21"/>
          <w:szCs w:val="21"/>
        </w:rPr>
        <w:t xml:space="preserve"> </w:t>
      </w:r>
      <w:r w:rsidR="00637293" w:rsidRPr="00CE0903">
        <w:rPr>
          <w:rStyle w:val="FootnoteReference"/>
          <w:sz w:val="21"/>
          <w:szCs w:val="21"/>
        </w:rPr>
        <w:footnoteReference w:id="1"/>
      </w:r>
      <w:r w:rsidR="00BC65E0" w:rsidRPr="00CE0903">
        <w:rPr>
          <w:sz w:val="21"/>
          <w:szCs w:val="21"/>
        </w:rPr>
        <w:t xml:space="preserve">to </w:t>
      </w:r>
      <w:r w:rsidR="00E32215" w:rsidRPr="00CE0903">
        <w:rPr>
          <w:sz w:val="21"/>
          <w:szCs w:val="21"/>
        </w:rPr>
        <w:t>hel</w:t>
      </w:r>
      <w:r w:rsidR="00F65799" w:rsidRPr="00CE0903">
        <w:rPr>
          <w:sz w:val="21"/>
          <w:szCs w:val="21"/>
        </w:rPr>
        <w:t>p</w:t>
      </w:r>
      <w:r w:rsidR="00931E70" w:rsidRPr="00CE0903">
        <w:rPr>
          <w:sz w:val="21"/>
          <w:szCs w:val="21"/>
        </w:rPr>
        <w:t xml:space="preserve"> guide, shape and envi</w:t>
      </w:r>
      <w:r w:rsidR="00DE0079" w:rsidRPr="00CE0903">
        <w:rPr>
          <w:sz w:val="21"/>
          <w:szCs w:val="21"/>
        </w:rPr>
        <w:t>si</w:t>
      </w:r>
      <w:r w:rsidR="00931E70" w:rsidRPr="00CE0903">
        <w:rPr>
          <w:sz w:val="21"/>
          <w:szCs w:val="21"/>
        </w:rPr>
        <w:t>on</w:t>
      </w:r>
      <w:r w:rsidR="00E32215" w:rsidRPr="00CE0903">
        <w:rPr>
          <w:sz w:val="21"/>
          <w:szCs w:val="21"/>
        </w:rPr>
        <w:t xml:space="preserve"> what we do </w:t>
      </w:r>
      <w:r w:rsidR="00BC65E0" w:rsidRPr="00CE0903">
        <w:rPr>
          <w:sz w:val="21"/>
          <w:szCs w:val="21"/>
        </w:rPr>
        <w:t>and how in the</w:t>
      </w:r>
      <w:r w:rsidR="00EC0533" w:rsidRPr="00CE0903">
        <w:rPr>
          <w:sz w:val="21"/>
          <w:szCs w:val="21"/>
        </w:rPr>
        <w:t xml:space="preserve"> Faculty</w:t>
      </w:r>
      <w:r w:rsidR="00BC65E0" w:rsidRPr="00CE0903">
        <w:rPr>
          <w:sz w:val="21"/>
          <w:szCs w:val="21"/>
        </w:rPr>
        <w:t xml:space="preserve"> of Educatio</w:t>
      </w:r>
      <w:r w:rsidR="00F65799" w:rsidRPr="00CE0903">
        <w:rPr>
          <w:sz w:val="21"/>
          <w:szCs w:val="21"/>
        </w:rPr>
        <w:t>n</w:t>
      </w:r>
      <w:r w:rsidR="006C63D0" w:rsidRPr="00CE0903">
        <w:rPr>
          <w:sz w:val="21"/>
          <w:szCs w:val="21"/>
        </w:rPr>
        <w:t xml:space="preserve">:  </w:t>
      </w:r>
    </w:p>
    <w:p w14:paraId="16D3B83C" w14:textId="77777777" w:rsidR="00E36184" w:rsidRPr="00CE0903" w:rsidRDefault="00E36184" w:rsidP="001D3D66">
      <w:pPr>
        <w:rPr>
          <w:sz w:val="21"/>
          <w:szCs w:val="21"/>
        </w:rPr>
      </w:pPr>
    </w:p>
    <w:p w14:paraId="7AD77DCB" w14:textId="3B20E01B" w:rsidR="001446D3" w:rsidRPr="00F363A5" w:rsidRDefault="001446D3" w:rsidP="001446D3">
      <w:pPr>
        <w:pStyle w:val="ListParagraph"/>
        <w:numPr>
          <w:ilvl w:val="0"/>
          <w:numId w:val="3"/>
        </w:numPr>
        <w:rPr>
          <w:rFonts w:cstheme="minorHAnsi"/>
          <w:b/>
          <w:bCs/>
          <w:sz w:val="21"/>
          <w:szCs w:val="21"/>
        </w:rPr>
      </w:pPr>
      <w:r w:rsidRPr="00FE782F">
        <w:rPr>
          <w:rFonts w:eastAsia="Times New Roman" w:cstheme="minorHAnsi"/>
          <w:b/>
          <w:bCs/>
        </w:rPr>
        <w:t>Héʔəkʷ ʔə cə čəléŋən ɫtə</w:t>
      </w:r>
      <w:r w:rsidRPr="00E01AB3">
        <w:rPr>
          <w:b/>
          <w:bCs/>
        </w:rPr>
        <w:br/>
        <w:t>HÁEQ ȽTE OL TŦE ĆELÁṈEN ȽTE</w:t>
      </w:r>
      <w:r>
        <w:t xml:space="preserve"> </w:t>
      </w:r>
      <w:r w:rsidRPr="00F363A5">
        <w:rPr>
          <w:rFonts w:cstheme="minorHAnsi"/>
          <w:bCs/>
          <w:sz w:val="21"/>
          <w:szCs w:val="21"/>
          <w:lang w:val="en-US"/>
        </w:rPr>
        <w:t xml:space="preserve">– </w:t>
      </w:r>
      <w:r w:rsidRPr="00F363A5">
        <w:rPr>
          <w:rFonts w:cstheme="minorHAnsi"/>
          <w:sz w:val="21"/>
          <w:szCs w:val="21"/>
        </w:rPr>
        <w:t>Remember our ancestors/</w:t>
      </w:r>
      <w:r w:rsidR="00FE782F" w:rsidRPr="00F363A5">
        <w:rPr>
          <w:rFonts w:cstheme="minorHAnsi"/>
          <w:sz w:val="21"/>
          <w:szCs w:val="21"/>
        </w:rPr>
        <w:t>birthright</w:t>
      </w:r>
      <w:r w:rsidR="00FE782F">
        <w:rPr>
          <w:rFonts w:cstheme="minorHAnsi"/>
          <w:sz w:val="21"/>
          <w:szCs w:val="21"/>
        </w:rPr>
        <w:t>.</w:t>
      </w:r>
      <w:r w:rsidRPr="00F363A5">
        <w:rPr>
          <w:rFonts w:cstheme="minorHAnsi"/>
          <w:sz w:val="21"/>
          <w:szCs w:val="21"/>
        </w:rPr>
        <w:t xml:space="preserve"> </w:t>
      </w:r>
    </w:p>
    <w:p w14:paraId="3801D673" w14:textId="77777777" w:rsidR="001446D3" w:rsidRPr="00F363A5" w:rsidRDefault="001446D3" w:rsidP="001446D3">
      <w:pPr>
        <w:pStyle w:val="ListParagraph"/>
        <w:ind w:left="1080"/>
        <w:rPr>
          <w:rFonts w:cstheme="minorHAnsi"/>
          <w:b/>
          <w:bCs/>
          <w:sz w:val="21"/>
          <w:szCs w:val="21"/>
        </w:rPr>
      </w:pPr>
    </w:p>
    <w:p w14:paraId="398CBD70" w14:textId="5A8CAF92" w:rsidR="001446D3" w:rsidRPr="00E01AB3" w:rsidRDefault="001446D3" w:rsidP="001446D3">
      <w:pPr>
        <w:pStyle w:val="ListParagraph"/>
        <w:numPr>
          <w:ilvl w:val="0"/>
          <w:numId w:val="3"/>
        </w:numPr>
      </w:pPr>
      <w:r w:rsidRPr="00FE782F">
        <w:rPr>
          <w:rFonts w:eastAsia="Times New Roman" w:cstheme="minorHAnsi"/>
          <w:b/>
          <w:bCs/>
        </w:rPr>
        <w:t>Nəc̓əmaat kʷəns čeʔi</w:t>
      </w:r>
      <w:r w:rsidRPr="002E65C8">
        <w:rPr>
          <w:rFonts w:eastAsia="Times New Roman" w:cstheme="minorHAnsi"/>
        </w:rPr>
        <w:t> </w:t>
      </w:r>
      <w:r w:rsidRPr="00E01AB3">
        <w:rPr>
          <w:b/>
          <w:bCs/>
        </w:rPr>
        <w:br/>
        <w:t>ĆȺNEUEL OL</w:t>
      </w:r>
      <w:r w:rsidRPr="00E01AB3">
        <w:rPr>
          <w:rFonts w:cstheme="minorHAnsi"/>
          <w:b/>
          <w:bCs/>
          <w:sz w:val="21"/>
          <w:szCs w:val="21"/>
        </w:rPr>
        <w:t xml:space="preserve"> </w:t>
      </w:r>
      <w:r w:rsidRPr="00E01AB3">
        <w:rPr>
          <w:rFonts w:cstheme="minorHAnsi"/>
          <w:bCs/>
          <w:sz w:val="21"/>
          <w:szCs w:val="21"/>
          <w:lang w:val="en-US"/>
        </w:rPr>
        <w:t xml:space="preserve">– </w:t>
      </w:r>
      <w:r w:rsidRPr="00E01AB3">
        <w:rPr>
          <w:rFonts w:cstheme="minorHAnsi"/>
          <w:sz w:val="21"/>
          <w:szCs w:val="21"/>
        </w:rPr>
        <w:t xml:space="preserve">Work </w:t>
      </w:r>
      <w:r w:rsidR="00FE782F" w:rsidRPr="00E01AB3">
        <w:rPr>
          <w:rFonts w:cstheme="minorHAnsi"/>
          <w:sz w:val="21"/>
          <w:szCs w:val="21"/>
        </w:rPr>
        <w:t>together</w:t>
      </w:r>
      <w:r w:rsidR="00FE782F">
        <w:rPr>
          <w:rFonts w:cstheme="minorHAnsi"/>
          <w:sz w:val="21"/>
          <w:szCs w:val="21"/>
        </w:rPr>
        <w:t>.</w:t>
      </w:r>
    </w:p>
    <w:p w14:paraId="674C4C59" w14:textId="77777777" w:rsidR="001446D3" w:rsidRDefault="001446D3" w:rsidP="001446D3">
      <w:pPr>
        <w:pStyle w:val="ListParagraph"/>
      </w:pPr>
    </w:p>
    <w:p w14:paraId="7519EA4A" w14:textId="33E6FCD1" w:rsidR="001446D3" w:rsidRPr="00E01AB3" w:rsidRDefault="001446D3" w:rsidP="001446D3">
      <w:pPr>
        <w:pStyle w:val="ListParagraph"/>
        <w:numPr>
          <w:ilvl w:val="0"/>
          <w:numId w:val="3"/>
        </w:numPr>
      </w:pPr>
      <w:r w:rsidRPr="00FE782F">
        <w:rPr>
          <w:rFonts w:eastAsia="Times New Roman" w:cstheme="minorHAnsi"/>
          <w:b/>
          <w:bCs/>
        </w:rPr>
        <w:t>Nə</w:t>
      </w:r>
      <w:r w:rsidRPr="00FE782F">
        <w:rPr>
          <w:rFonts w:cstheme="minorHAnsi"/>
          <w:b/>
          <w:bCs/>
        </w:rPr>
        <w:t>w̓</w:t>
      </w:r>
      <w:r w:rsidRPr="00FE782F">
        <w:rPr>
          <w:rFonts w:eastAsia="Times New Roman" w:cstheme="minorHAnsi"/>
          <w:b/>
          <w:bCs/>
        </w:rPr>
        <w:t>es šxʷ cən ʔa</w:t>
      </w:r>
      <w:r w:rsidRPr="00FE782F">
        <w:rPr>
          <w:rFonts w:cstheme="minorHAnsi"/>
          <w:b/>
          <w:bCs/>
        </w:rPr>
        <w:t>y̓</w:t>
      </w:r>
      <w:r w:rsidRPr="00FE782F">
        <w:rPr>
          <w:rFonts w:eastAsia="Times New Roman" w:cstheme="minorHAnsi"/>
          <w:b/>
          <w:bCs/>
        </w:rPr>
        <w:t xml:space="preserve"> šqʷeləqʷən</w:t>
      </w:r>
      <w:r w:rsidRPr="00E01AB3">
        <w:rPr>
          <w:b/>
          <w:bCs/>
        </w:rPr>
        <w:br/>
        <w:t>ÁMEḴT TŦEN ÍY, ŚḰÁLEȻEN</w:t>
      </w:r>
      <w:r>
        <w:t xml:space="preserve"> </w:t>
      </w:r>
      <w:r w:rsidRPr="00E01AB3">
        <w:rPr>
          <w:rFonts w:cstheme="minorHAnsi"/>
          <w:bCs/>
          <w:sz w:val="21"/>
          <w:szCs w:val="21"/>
          <w:lang w:val="en-US"/>
        </w:rPr>
        <w:t xml:space="preserve">– </w:t>
      </w:r>
      <w:r w:rsidRPr="00E01AB3">
        <w:rPr>
          <w:rFonts w:cstheme="minorHAnsi"/>
          <w:sz w:val="21"/>
          <w:szCs w:val="21"/>
        </w:rPr>
        <w:t xml:space="preserve">Bring in your good </w:t>
      </w:r>
      <w:r w:rsidR="00FE782F" w:rsidRPr="00E01AB3">
        <w:rPr>
          <w:rFonts w:cstheme="minorHAnsi"/>
          <w:sz w:val="21"/>
          <w:szCs w:val="21"/>
        </w:rPr>
        <w:t>feelings</w:t>
      </w:r>
      <w:r w:rsidR="00FE782F">
        <w:rPr>
          <w:rFonts w:cstheme="minorHAnsi"/>
          <w:sz w:val="21"/>
          <w:szCs w:val="21"/>
        </w:rPr>
        <w:t>.</w:t>
      </w:r>
    </w:p>
    <w:p w14:paraId="7E3E11AA" w14:textId="77777777" w:rsidR="001446D3" w:rsidRPr="00E01AB3" w:rsidRDefault="001446D3" w:rsidP="001446D3"/>
    <w:p w14:paraId="2E389F78" w14:textId="358D4931" w:rsidR="001446D3" w:rsidRPr="00E01AB3" w:rsidRDefault="001446D3" w:rsidP="001446D3">
      <w:pPr>
        <w:pStyle w:val="ListParagraph"/>
        <w:numPr>
          <w:ilvl w:val="0"/>
          <w:numId w:val="3"/>
        </w:numPr>
        <w:rPr>
          <w:sz w:val="21"/>
          <w:szCs w:val="21"/>
        </w:rPr>
      </w:pPr>
      <w:r>
        <w:rPr>
          <w:rFonts w:cstheme="minorHAnsi"/>
          <w:bCs/>
          <w:sz w:val="21"/>
          <w:szCs w:val="21"/>
          <w:lang w:val="en-US"/>
        </w:rPr>
        <w:t xml:space="preserve"> </w:t>
      </w:r>
      <w:r w:rsidRPr="00FE782F">
        <w:rPr>
          <w:rFonts w:eastAsia="Times New Roman" w:cstheme="minorHAnsi"/>
          <w:b/>
          <w:bCs/>
        </w:rPr>
        <w:t>Leʔt šxʷ helə ʔə cə mak̓ʷ sčeʔi səʔ</w:t>
      </w:r>
      <w:r w:rsidRPr="00E01AB3">
        <w:rPr>
          <w:b/>
          <w:bCs/>
        </w:rPr>
        <w:br/>
        <w:t>TU LÁTES MEQ EN SĆȺ SE</w:t>
      </w:r>
      <w:r>
        <w:t xml:space="preserve"> </w:t>
      </w:r>
      <w:r w:rsidRPr="00E01AB3">
        <w:rPr>
          <w:rFonts w:cstheme="minorHAnsi"/>
          <w:bCs/>
          <w:sz w:val="21"/>
          <w:szCs w:val="21"/>
          <w:lang w:val="en-US"/>
        </w:rPr>
        <w:t>– B</w:t>
      </w:r>
      <w:r w:rsidRPr="00E01AB3">
        <w:rPr>
          <w:rFonts w:cstheme="minorHAnsi"/>
          <w:sz w:val="21"/>
          <w:szCs w:val="21"/>
        </w:rPr>
        <w:t>e prepared for all work to come</w:t>
      </w:r>
      <w:r w:rsidRPr="00E01AB3">
        <w:rPr>
          <w:sz w:val="21"/>
          <w:szCs w:val="21"/>
        </w:rPr>
        <w:t>.</w:t>
      </w:r>
    </w:p>
    <w:p w14:paraId="77B6DF7A" w14:textId="77777777" w:rsidR="00E01AB3" w:rsidRDefault="00E01AB3" w:rsidP="0084163D">
      <w:pPr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</w:pPr>
    </w:p>
    <w:p w14:paraId="61C2163F" w14:textId="0F958FB6" w:rsidR="00E50B79" w:rsidRPr="00CE0903" w:rsidRDefault="001D3D66" w:rsidP="0084163D">
      <w:pPr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</w:pPr>
      <w:r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 xml:space="preserve">Underpinning these </w:t>
      </w:r>
      <w:r w:rsidR="00CC1E4C"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>v</w:t>
      </w:r>
      <w:r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>alues and teachings</w:t>
      </w:r>
      <w:r w:rsidR="00287A31"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 xml:space="preserve"> is</w:t>
      </w:r>
      <w:r w:rsidR="00366EA8"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 xml:space="preserve"> our collective </w:t>
      </w:r>
      <w:r w:rsidR="005F7B47"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>responsibility</w:t>
      </w:r>
      <w:r w:rsidR="00673DEA"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 xml:space="preserve"> to</w:t>
      </w:r>
      <w:r w:rsidR="00EC6F94"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 xml:space="preserve"> respect and</w:t>
      </w:r>
      <w:r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 xml:space="preserve"> </w:t>
      </w:r>
      <w:r w:rsidR="00287A31"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 xml:space="preserve">recognize the </w:t>
      </w:r>
      <w:r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 xml:space="preserve">integral relationship between </w:t>
      </w:r>
      <w:r w:rsidRPr="00CE0903">
        <w:rPr>
          <w:rFonts w:ascii="Calibri" w:eastAsia="Times New Roman" w:hAnsi="Calibri" w:cs="Calibri"/>
          <w:i/>
          <w:iCs/>
          <w:color w:val="212121"/>
          <w:sz w:val="21"/>
          <w:szCs w:val="21"/>
          <w:shd w:val="clear" w:color="auto" w:fill="FFFFFF"/>
        </w:rPr>
        <w:t xml:space="preserve">equity-as-fairness </w:t>
      </w:r>
      <w:r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 xml:space="preserve">and </w:t>
      </w:r>
      <w:r w:rsidRPr="00CE0903">
        <w:rPr>
          <w:rFonts w:ascii="Calibri" w:eastAsia="Times New Roman" w:hAnsi="Calibri" w:cs="Calibri"/>
          <w:i/>
          <w:iCs/>
          <w:color w:val="212121"/>
          <w:sz w:val="21"/>
          <w:szCs w:val="21"/>
          <w:shd w:val="clear" w:color="auto" w:fill="FFFFFF"/>
        </w:rPr>
        <w:t>inclusive excellence</w:t>
      </w:r>
      <w:r w:rsidR="005D0430"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>.</w:t>
      </w:r>
      <w:r w:rsidR="00785BB2"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 xml:space="preserve"> </w:t>
      </w:r>
      <w:r w:rsidRPr="00CE0903">
        <w:rPr>
          <w:rFonts w:ascii="Calibri" w:eastAsia="Times New Roman" w:hAnsi="Calibri" w:cs="Calibri"/>
          <w:i/>
          <w:iCs/>
          <w:color w:val="212121"/>
          <w:sz w:val="21"/>
          <w:szCs w:val="21"/>
          <w:shd w:val="clear" w:color="auto" w:fill="FFFFFF"/>
        </w:rPr>
        <w:t>Equity-as-fairness</w:t>
      </w:r>
      <w:r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 xml:space="preserve"> means that everyone has access to support</w:t>
      </w:r>
      <w:r w:rsidR="00C91518"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>(s)</w:t>
      </w:r>
      <w:r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 xml:space="preserve"> they need to succeed</w:t>
      </w:r>
      <w:r w:rsidR="00F65799"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 xml:space="preserve">, </w:t>
      </w:r>
      <w:r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 xml:space="preserve">and are </w:t>
      </w:r>
      <w:r w:rsidR="00F91290"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>enriched and strengthened</w:t>
      </w:r>
      <w:r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 xml:space="preserve"> by </w:t>
      </w:r>
      <w:r w:rsidRPr="00CE0903">
        <w:rPr>
          <w:rFonts w:ascii="Calibri" w:eastAsia="Times New Roman" w:hAnsi="Calibri" w:cs="Calibri"/>
          <w:i/>
          <w:iCs/>
          <w:color w:val="212121"/>
          <w:sz w:val="21"/>
          <w:szCs w:val="21"/>
          <w:shd w:val="clear" w:color="auto" w:fill="FFFFFF"/>
        </w:rPr>
        <w:t>diversity</w:t>
      </w:r>
      <w:r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 xml:space="preserve"> including, but not limited to, ethnicity and national origins, language, gender and gender identity, sexuality, ability, age,</w:t>
      </w:r>
      <w:r w:rsidR="0079350A"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 xml:space="preserve"> </w:t>
      </w:r>
      <w:r w:rsidR="00673DEA" w:rsidRPr="00CE0903">
        <w:rPr>
          <w:rFonts w:ascii="Calibri" w:eastAsia="Times New Roman" w:hAnsi="Calibri" w:cs="Calibri"/>
          <w:color w:val="212121"/>
          <w:sz w:val="21"/>
          <w:szCs w:val="21"/>
        </w:rPr>
        <w:t xml:space="preserve">class </w:t>
      </w:r>
      <w:r w:rsidR="00CD5A54" w:rsidRPr="00CE0903">
        <w:rPr>
          <w:rFonts w:ascii="Calibri" w:eastAsia="Times New Roman" w:hAnsi="Calibri" w:cs="Calibri"/>
          <w:color w:val="212121"/>
          <w:sz w:val="21"/>
          <w:szCs w:val="21"/>
        </w:rPr>
        <w:t>and spirituality</w:t>
      </w:r>
      <w:r w:rsidRPr="00CE0903">
        <w:rPr>
          <w:rFonts w:ascii="Calibri" w:eastAsia="Times New Roman" w:hAnsi="Calibri" w:cs="Calibri"/>
          <w:color w:val="212121"/>
          <w:sz w:val="21"/>
          <w:szCs w:val="21"/>
        </w:rPr>
        <w:t xml:space="preserve">. </w:t>
      </w:r>
      <w:r w:rsidR="0089798C" w:rsidRPr="00CE0903">
        <w:rPr>
          <w:rFonts w:ascii="Calibri" w:eastAsia="Times New Roman" w:hAnsi="Calibri" w:cs="Calibri"/>
          <w:color w:val="212121"/>
          <w:sz w:val="21"/>
          <w:szCs w:val="21"/>
        </w:rPr>
        <w:t>The Faculty of Education</w:t>
      </w:r>
      <w:r w:rsidR="00BD3C69" w:rsidRPr="00CE0903">
        <w:rPr>
          <w:rFonts w:ascii="Calibri" w:eastAsia="Times New Roman" w:hAnsi="Calibri" w:cs="Calibri"/>
          <w:color w:val="212121"/>
          <w:sz w:val="21"/>
          <w:szCs w:val="21"/>
        </w:rPr>
        <w:t xml:space="preserve"> also</w:t>
      </w:r>
      <w:r w:rsidR="0089798C" w:rsidRPr="00CE0903">
        <w:rPr>
          <w:rFonts w:ascii="Calibri" w:eastAsia="Times New Roman" w:hAnsi="Calibri" w:cs="Calibri"/>
          <w:color w:val="212121"/>
          <w:sz w:val="21"/>
          <w:szCs w:val="21"/>
        </w:rPr>
        <w:t xml:space="preserve"> commits </w:t>
      </w:r>
      <w:r w:rsidR="0087209E" w:rsidRPr="00CE0903">
        <w:rPr>
          <w:rFonts w:ascii="Calibri" w:eastAsia="Times New Roman" w:hAnsi="Calibri" w:cs="Calibri"/>
          <w:color w:val="212121"/>
          <w:sz w:val="21"/>
          <w:szCs w:val="21"/>
        </w:rPr>
        <w:t>to a</w:t>
      </w:r>
      <w:r w:rsidR="00885D9C" w:rsidRPr="00CE0903">
        <w:rPr>
          <w:rFonts w:ascii="Calibri" w:eastAsia="Times New Roman" w:hAnsi="Calibri" w:cs="Calibri"/>
          <w:color w:val="212121"/>
          <w:sz w:val="21"/>
          <w:szCs w:val="21"/>
        </w:rPr>
        <w:t xml:space="preserve">pproaching EDID </w:t>
      </w:r>
      <w:r w:rsidR="005D3606" w:rsidRPr="00CE0903">
        <w:rPr>
          <w:rFonts w:ascii="Calibri" w:eastAsia="Times New Roman" w:hAnsi="Calibri" w:cs="Calibri"/>
          <w:color w:val="212121"/>
          <w:sz w:val="21"/>
          <w:szCs w:val="21"/>
        </w:rPr>
        <w:t>from an</w:t>
      </w:r>
      <w:r w:rsidR="0089798C" w:rsidRPr="00CE0903">
        <w:rPr>
          <w:rFonts w:ascii="Calibri" w:eastAsia="Times New Roman" w:hAnsi="Calibri" w:cs="Calibri"/>
          <w:color w:val="212121"/>
          <w:sz w:val="21"/>
          <w:szCs w:val="21"/>
        </w:rPr>
        <w:t xml:space="preserve"> intersectional lens</w:t>
      </w:r>
      <w:r w:rsidR="00885D9C" w:rsidRPr="00CE0903">
        <w:rPr>
          <w:rFonts w:ascii="Calibri" w:eastAsia="Times New Roman" w:hAnsi="Calibri" w:cs="Calibri"/>
          <w:color w:val="212121"/>
          <w:sz w:val="21"/>
          <w:szCs w:val="21"/>
        </w:rPr>
        <w:t>. As such, advancing</w:t>
      </w:r>
      <w:r w:rsidR="00BD2357" w:rsidRPr="00CE0903">
        <w:rPr>
          <w:rFonts w:ascii="Calibri" w:eastAsia="Times New Roman" w:hAnsi="Calibri" w:cs="Calibri"/>
          <w:color w:val="212121"/>
          <w:sz w:val="21"/>
          <w:szCs w:val="21"/>
        </w:rPr>
        <w:t xml:space="preserve"> </w:t>
      </w:r>
      <w:r w:rsidR="00024F3D" w:rsidRPr="00CE0903">
        <w:rPr>
          <w:rFonts w:ascii="Calibri" w:eastAsia="Times New Roman" w:hAnsi="Calibri" w:cs="Calibri"/>
          <w:color w:val="212121"/>
          <w:sz w:val="21"/>
          <w:szCs w:val="21"/>
        </w:rPr>
        <w:t xml:space="preserve">issues related to </w:t>
      </w:r>
      <w:r w:rsidR="00BD2357" w:rsidRPr="00CE0903">
        <w:rPr>
          <w:rFonts w:ascii="Calibri" w:eastAsia="Times New Roman" w:hAnsi="Calibri" w:cs="Calibri"/>
          <w:color w:val="212121"/>
          <w:sz w:val="21"/>
          <w:szCs w:val="21"/>
        </w:rPr>
        <w:t>LGBTQIA</w:t>
      </w:r>
      <w:r w:rsidR="008464CD" w:rsidRPr="00CE0903">
        <w:rPr>
          <w:rFonts w:ascii="Calibri" w:eastAsia="Times New Roman" w:hAnsi="Calibri" w:cs="Calibri"/>
          <w:color w:val="212121"/>
          <w:sz w:val="21"/>
          <w:szCs w:val="21"/>
        </w:rPr>
        <w:t>2S</w:t>
      </w:r>
      <w:r w:rsidR="00BD2357" w:rsidRPr="00CE0903">
        <w:rPr>
          <w:rFonts w:ascii="Calibri" w:eastAsia="Times New Roman" w:hAnsi="Calibri" w:cs="Calibri"/>
          <w:color w:val="212121"/>
          <w:sz w:val="21"/>
          <w:szCs w:val="21"/>
        </w:rPr>
        <w:t>, BIPoC, MMIWG, disabilities</w:t>
      </w:r>
      <w:r w:rsidR="00885D9C" w:rsidRPr="00CE0903">
        <w:rPr>
          <w:rFonts w:ascii="Calibri" w:eastAsia="Times New Roman" w:hAnsi="Calibri" w:cs="Calibri"/>
          <w:color w:val="212121"/>
          <w:sz w:val="21"/>
          <w:szCs w:val="21"/>
        </w:rPr>
        <w:t xml:space="preserve"> </w:t>
      </w:r>
      <w:r w:rsidR="00BD2357" w:rsidRPr="00CE0903">
        <w:rPr>
          <w:rFonts w:ascii="Calibri" w:eastAsia="Times New Roman" w:hAnsi="Calibri" w:cs="Calibri"/>
          <w:color w:val="212121"/>
          <w:sz w:val="21"/>
          <w:szCs w:val="21"/>
        </w:rPr>
        <w:t xml:space="preserve">and </w:t>
      </w:r>
      <w:r w:rsidR="00885D9C" w:rsidRPr="00CE0903">
        <w:rPr>
          <w:rFonts w:ascii="Calibri" w:eastAsia="Times New Roman" w:hAnsi="Calibri" w:cs="Calibri"/>
          <w:color w:val="212121"/>
          <w:sz w:val="21"/>
          <w:szCs w:val="21"/>
        </w:rPr>
        <w:t>social class diversity (inclusive of poverty</w:t>
      </w:r>
      <w:r w:rsidR="005D3606" w:rsidRPr="00CE0903">
        <w:rPr>
          <w:rFonts w:ascii="Calibri" w:eastAsia="Times New Roman" w:hAnsi="Calibri" w:cs="Calibri"/>
          <w:color w:val="212121"/>
          <w:sz w:val="21"/>
          <w:szCs w:val="21"/>
        </w:rPr>
        <w:t xml:space="preserve"> </w:t>
      </w:r>
      <w:r w:rsidR="00885D9C" w:rsidRPr="00CE0903">
        <w:rPr>
          <w:rFonts w:ascii="Calibri" w:eastAsia="Times New Roman" w:hAnsi="Calibri" w:cs="Calibri"/>
          <w:color w:val="212121"/>
          <w:sz w:val="21"/>
          <w:szCs w:val="21"/>
        </w:rPr>
        <w:t xml:space="preserve">discrimination) </w:t>
      </w:r>
      <w:r w:rsidR="005F7B47" w:rsidRPr="00CE0903">
        <w:rPr>
          <w:rFonts w:ascii="Calibri" w:eastAsia="Times New Roman" w:hAnsi="Calibri" w:cs="Calibri"/>
          <w:color w:val="212121"/>
          <w:sz w:val="21"/>
          <w:szCs w:val="21"/>
        </w:rPr>
        <w:t xml:space="preserve">aligns with our </w:t>
      </w:r>
      <w:r w:rsidR="005D3606" w:rsidRPr="00CE0903">
        <w:rPr>
          <w:rFonts w:ascii="Calibri" w:eastAsia="Times New Roman" w:hAnsi="Calibri" w:cs="Calibri"/>
          <w:color w:val="212121"/>
          <w:sz w:val="21"/>
          <w:szCs w:val="21"/>
        </w:rPr>
        <w:t xml:space="preserve">EDID mission of working together to address all forms of discrimination. </w:t>
      </w:r>
      <w:r w:rsidRPr="00CE0903">
        <w:rPr>
          <w:rFonts w:ascii="Calibri" w:eastAsia="Times New Roman" w:hAnsi="Calibri" w:cs="Calibri"/>
          <w:i/>
          <w:iCs/>
          <w:color w:val="212121"/>
          <w:sz w:val="21"/>
          <w:szCs w:val="21"/>
        </w:rPr>
        <w:t>Inclusive</w:t>
      </w:r>
      <w:r w:rsidRPr="00CE0903">
        <w:rPr>
          <w:rFonts w:ascii="Calibri" w:eastAsia="Times New Roman" w:hAnsi="Calibri" w:cs="Calibri"/>
          <w:i/>
          <w:iCs/>
          <w:color w:val="212121"/>
          <w:sz w:val="21"/>
          <w:szCs w:val="21"/>
          <w:shd w:val="clear" w:color="auto" w:fill="FFFFFF"/>
        </w:rPr>
        <w:t xml:space="preserve"> excellence</w:t>
      </w:r>
      <w:r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 xml:space="preserve"> means support</w:t>
      </w:r>
      <w:r w:rsidR="00952BDA"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>ing</w:t>
      </w:r>
      <w:r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>, celebrat</w:t>
      </w:r>
      <w:r w:rsidR="00952BDA"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>ing</w:t>
      </w:r>
      <w:r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 xml:space="preserve"> and affirm</w:t>
      </w:r>
      <w:r w:rsidR="00952BDA"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>ing</w:t>
      </w:r>
      <w:r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 xml:space="preserve"> how diversity can deepen learning, enhance critical thinking</w:t>
      </w:r>
      <w:r w:rsidR="008464CD"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 xml:space="preserve"> and </w:t>
      </w:r>
      <w:r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>problem solving, and fuel creativity and innovation in</w:t>
      </w:r>
      <w:r w:rsidR="00C91518"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 xml:space="preserve"> our</w:t>
      </w:r>
      <w:r w:rsidRPr="00CE0903">
        <w:rPr>
          <w:rFonts w:ascii="Calibri" w:eastAsia="Times New Roman" w:hAnsi="Calibri" w:cs="Calibri"/>
          <w:color w:val="212121"/>
          <w:sz w:val="21"/>
          <w:szCs w:val="21"/>
          <w:shd w:val="clear" w:color="auto" w:fill="FFFFFF"/>
        </w:rPr>
        <w:t xml:space="preserve"> teaching and learning, research and artistic enquiry, professional service, and community engagement within our Faculty of Education, and beyond. </w:t>
      </w:r>
    </w:p>
    <w:p w14:paraId="422A5CA4" w14:textId="77777777" w:rsidR="000079B8" w:rsidRPr="00CE0903" w:rsidRDefault="000079B8" w:rsidP="0084163D">
      <w:pPr>
        <w:rPr>
          <w:rFonts w:ascii="Calibri" w:eastAsia="Times New Roman" w:hAnsi="Calibri" w:cs="Calibri"/>
          <w:color w:val="212121"/>
          <w:sz w:val="21"/>
          <w:szCs w:val="21"/>
        </w:rPr>
      </w:pPr>
    </w:p>
    <w:p w14:paraId="62280521" w14:textId="47442861" w:rsidR="00E50B79" w:rsidRPr="00CE0903" w:rsidRDefault="000079B8" w:rsidP="00E50B79">
      <w:pPr>
        <w:rPr>
          <w:rFonts w:eastAsia="Times New Roman" w:cstheme="minorHAnsi"/>
          <w:color w:val="000000"/>
          <w:sz w:val="21"/>
          <w:szCs w:val="21"/>
          <w:shd w:val="clear" w:color="auto" w:fill="FFFFFF"/>
        </w:rPr>
      </w:pPr>
      <w:r w:rsidRPr="00CE0903">
        <w:rPr>
          <w:rFonts w:eastAsia="Times New Roman" w:cstheme="minorHAnsi"/>
          <w:color w:val="212121"/>
          <w:sz w:val="21"/>
          <w:szCs w:val="21"/>
          <w:shd w:val="clear" w:color="auto" w:fill="FFFFFF"/>
        </w:rPr>
        <w:t>In achieving both</w:t>
      </w:r>
      <w:r w:rsidRPr="00CE0903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 xml:space="preserve"> equity-as-fairness and inclusive excellence, we</w:t>
      </w:r>
      <w:r w:rsidR="00AE7B67" w:rsidRPr="00CE0903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 xml:space="preserve"> commit to</w:t>
      </w:r>
      <w:r w:rsidRPr="00CE0903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 xml:space="preserve"> </w:t>
      </w:r>
      <w:r w:rsidRPr="00CE0903">
        <w:rPr>
          <w:rFonts w:cstheme="minorHAnsi"/>
          <w:sz w:val="21"/>
          <w:szCs w:val="21"/>
        </w:rPr>
        <w:t xml:space="preserve">exposing colonial </w:t>
      </w:r>
      <w:r w:rsidR="003E4232" w:rsidRPr="00CE0903">
        <w:rPr>
          <w:rFonts w:cstheme="minorHAnsi"/>
          <w:sz w:val="21"/>
          <w:szCs w:val="21"/>
        </w:rPr>
        <w:t xml:space="preserve">and settler </w:t>
      </w:r>
      <w:r w:rsidRPr="00CE0903">
        <w:rPr>
          <w:rFonts w:cstheme="minorHAnsi"/>
          <w:sz w:val="21"/>
          <w:szCs w:val="21"/>
        </w:rPr>
        <w:t xml:space="preserve">dominance in its many forms, including educational practices that we share </w:t>
      </w:r>
      <w:r w:rsidRPr="00CE0903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 xml:space="preserve">(e.g., student recruitment, staff/faculty recruitment, tenure and promotion, </w:t>
      </w:r>
      <w:r w:rsidR="00B35FA5" w:rsidRPr="00CE0903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 xml:space="preserve">teacher education, and unit and program </w:t>
      </w:r>
      <w:r w:rsidRPr="00CE0903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>curricula)</w:t>
      </w:r>
      <w:r w:rsidR="005D0430" w:rsidRPr="00CE0903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 xml:space="preserve">. </w:t>
      </w:r>
      <w:r w:rsidR="00AE7B67" w:rsidRPr="00CE0903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>We also commit to</w:t>
      </w:r>
      <w:r w:rsidR="000B5529" w:rsidRPr="00CE0903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 xml:space="preserve"> implementing</w:t>
      </w:r>
      <w:r w:rsidR="00F462C1" w:rsidRPr="00CE0903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1B30D6" w:rsidRPr="00CE0903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>decolonizing, anti-racist and anti-oppressive strategies</w:t>
      </w:r>
      <w:r w:rsidR="000B5529" w:rsidRPr="00CE0903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 xml:space="preserve"> to create </w:t>
      </w:r>
      <w:r w:rsidR="00500EB7" w:rsidRPr="00CE0903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 xml:space="preserve">culturally safe and inclusive teaching, learning and work spaces </w:t>
      </w:r>
      <w:r w:rsidR="000B5529" w:rsidRPr="00CE0903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>that</w:t>
      </w:r>
      <w:r w:rsidR="006F0D75" w:rsidRPr="00CE0903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 xml:space="preserve"> support everyone to thrive and reach their potential</w:t>
      </w:r>
      <w:r w:rsidR="00A27747" w:rsidRPr="00CE0903">
        <w:rPr>
          <w:rFonts w:cstheme="minorHAnsi"/>
          <w:sz w:val="21"/>
          <w:szCs w:val="21"/>
          <w:lang w:val="mi-NZ"/>
        </w:rPr>
        <w:t xml:space="preserve">. </w:t>
      </w:r>
      <w:r w:rsidR="00E50B79" w:rsidRPr="00CE0903">
        <w:rPr>
          <w:rFonts w:cstheme="minorHAnsi"/>
          <w:sz w:val="21"/>
          <w:szCs w:val="21"/>
        </w:rPr>
        <w:t xml:space="preserve">We are a Faculty that educates for and encourages respect, kindness, compassion, curiosity and belonging, with one principal limit: acts that incite hatred, espouse or encourage bigotry, sexism, racism, discrimination, oppression, or any form of violence either implied or explicit will not be tolerated.  </w:t>
      </w:r>
    </w:p>
    <w:p w14:paraId="5B1547E4" w14:textId="77777777" w:rsidR="001B30D6" w:rsidRPr="00CE0903" w:rsidRDefault="001B30D6" w:rsidP="0084163D">
      <w:pPr>
        <w:rPr>
          <w:sz w:val="21"/>
          <w:szCs w:val="21"/>
        </w:rPr>
      </w:pPr>
    </w:p>
    <w:p w14:paraId="20696761" w14:textId="39AC41EE" w:rsidR="0047088E" w:rsidRPr="00CE0903" w:rsidRDefault="0084163D" w:rsidP="00824332">
      <w:pPr>
        <w:rPr>
          <w:sz w:val="21"/>
          <w:szCs w:val="21"/>
        </w:rPr>
      </w:pPr>
      <w:r w:rsidRPr="00CE0903">
        <w:rPr>
          <w:sz w:val="21"/>
          <w:szCs w:val="21"/>
        </w:rPr>
        <w:t xml:space="preserve">Our </w:t>
      </w:r>
      <w:r w:rsidR="00E50B79" w:rsidRPr="00CE0903">
        <w:rPr>
          <w:sz w:val="21"/>
          <w:szCs w:val="21"/>
        </w:rPr>
        <w:t xml:space="preserve">Faculty </w:t>
      </w:r>
      <w:r w:rsidR="00BC65E0" w:rsidRPr="00CE0903">
        <w:rPr>
          <w:sz w:val="21"/>
          <w:szCs w:val="21"/>
        </w:rPr>
        <w:t xml:space="preserve">is </w:t>
      </w:r>
      <w:r w:rsidRPr="00CE0903">
        <w:rPr>
          <w:sz w:val="21"/>
          <w:szCs w:val="21"/>
        </w:rPr>
        <w:t>guided by the</w:t>
      </w:r>
      <w:r w:rsidR="0047088E" w:rsidRPr="00CE0903">
        <w:rPr>
          <w:sz w:val="21"/>
          <w:szCs w:val="21"/>
        </w:rPr>
        <w:t xml:space="preserve"> </w:t>
      </w:r>
      <w:hyperlink r:id="rId8" w:history="1">
        <w:r w:rsidR="0047088E" w:rsidRPr="00CE0903">
          <w:rPr>
            <w:rStyle w:val="Hyperlink"/>
            <w:sz w:val="21"/>
            <w:szCs w:val="21"/>
          </w:rPr>
          <w:t>Truth and Reconciliation Commission of Canada (TRC): Calls to Action on Education</w:t>
        </w:r>
      </w:hyperlink>
      <w:r w:rsidR="0047088E" w:rsidRPr="00CE0903">
        <w:rPr>
          <w:sz w:val="21"/>
          <w:szCs w:val="21"/>
        </w:rPr>
        <w:t xml:space="preserve">, </w:t>
      </w:r>
      <w:hyperlink r:id="rId9" w:history="1">
        <w:r w:rsidR="0047088E" w:rsidRPr="00CE0903">
          <w:rPr>
            <w:rStyle w:val="Hyperlink"/>
            <w:sz w:val="21"/>
            <w:szCs w:val="21"/>
          </w:rPr>
          <w:t>University of Victoria’s Indigenous Strategic Plan</w:t>
        </w:r>
      </w:hyperlink>
      <w:r w:rsidR="0047088E" w:rsidRPr="00CE0903">
        <w:rPr>
          <w:sz w:val="21"/>
          <w:szCs w:val="21"/>
        </w:rPr>
        <w:t>,</w:t>
      </w:r>
      <w:r w:rsidR="006D68BD" w:rsidRPr="00CE0903">
        <w:rPr>
          <w:sz w:val="21"/>
          <w:szCs w:val="21"/>
        </w:rPr>
        <w:t xml:space="preserve"> </w:t>
      </w:r>
      <w:hyperlink r:id="rId10" w:history="1">
        <w:r w:rsidR="006D68BD" w:rsidRPr="00CE0903">
          <w:rPr>
            <w:rStyle w:val="Hyperlink"/>
            <w:sz w:val="21"/>
            <w:szCs w:val="21"/>
          </w:rPr>
          <w:t>University of Victoria Strategic Framework</w:t>
        </w:r>
      </w:hyperlink>
      <w:r w:rsidR="006D68BD" w:rsidRPr="00CE0903">
        <w:rPr>
          <w:sz w:val="21"/>
          <w:szCs w:val="21"/>
        </w:rPr>
        <w:t xml:space="preserve">, </w:t>
      </w:r>
      <w:r w:rsidR="0047088E" w:rsidRPr="00CE0903">
        <w:rPr>
          <w:sz w:val="21"/>
          <w:szCs w:val="21"/>
        </w:rPr>
        <w:t xml:space="preserve"> </w:t>
      </w:r>
      <w:hyperlink r:id="rId11" w:history="1">
        <w:r w:rsidR="0047088E" w:rsidRPr="00CE0903">
          <w:rPr>
            <w:rStyle w:val="Hyperlink"/>
            <w:sz w:val="21"/>
            <w:szCs w:val="21"/>
          </w:rPr>
          <w:t>Scarborough Charter on Anti-Black Racism and Black Inclusion in Canadian Higher Education</w:t>
        </w:r>
      </w:hyperlink>
      <w:r w:rsidR="0047088E" w:rsidRPr="00CE0903">
        <w:rPr>
          <w:sz w:val="21"/>
          <w:szCs w:val="21"/>
        </w:rPr>
        <w:t xml:space="preserve">, </w:t>
      </w:r>
      <w:hyperlink r:id="rId12" w:history="1">
        <w:r w:rsidR="0047088E" w:rsidRPr="00CE0903">
          <w:rPr>
            <w:rStyle w:val="Hyperlink"/>
            <w:sz w:val="21"/>
            <w:szCs w:val="21"/>
          </w:rPr>
          <w:t>Universal Declaration of Human Rights</w:t>
        </w:r>
      </w:hyperlink>
      <w:r w:rsidR="0047088E" w:rsidRPr="00CE0903">
        <w:rPr>
          <w:sz w:val="21"/>
          <w:szCs w:val="21"/>
        </w:rPr>
        <w:t xml:space="preserve"> including the </w:t>
      </w:r>
      <w:hyperlink r:id="rId13" w:history="1">
        <w:r w:rsidR="0047088E" w:rsidRPr="00CE0903">
          <w:rPr>
            <w:rStyle w:val="Hyperlink"/>
            <w:sz w:val="21"/>
            <w:szCs w:val="21"/>
          </w:rPr>
          <w:t>Canadian Charter of Rights and Freedom</w:t>
        </w:r>
      </w:hyperlink>
      <w:r w:rsidR="0047088E" w:rsidRPr="00CE0903">
        <w:rPr>
          <w:rStyle w:val="Hyperlink"/>
          <w:color w:val="000000" w:themeColor="text1"/>
          <w:sz w:val="21"/>
          <w:szCs w:val="21"/>
          <w:u w:val="none"/>
        </w:rPr>
        <w:t xml:space="preserve"> </w:t>
      </w:r>
      <w:r w:rsidR="0047088E" w:rsidRPr="00CE0903">
        <w:rPr>
          <w:sz w:val="21"/>
          <w:szCs w:val="21"/>
        </w:rPr>
        <w:t xml:space="preserve">as well as, the </w:t>
      </w:r>
      <w:hyperlink r:id="rId14" w:history="1">
        <w:r w:rsidR="0047088E" w:rsidRPr="00CE0903">
          <w:rPr>
            <w:rStyle w:val="Hyperlink"/>
            <w:sz w:val="21"/>
            <w:szCs w:val="21"/>
          </w:rPr>
          <w:t>United Nations Declaration on the Rights of Indigenous Peoples</w:t>
        </w:r>
      </w:hyperlink>
      <w:r w:rsidR="0047088E" w:rsidRPr="00CE0903">
        <w:rPr>
          <w:sz w:val="21"/>
          <w:szCs w:val="21"/>
        </w:rPr>
        <w:t xml:space="preserve"> and the BC provincial government’s legislative </w:t>
      </w:r>
      <w:r w:rsidR="0047088E" w:rsidRPr="00CE0903">
        <w:rPr>
          <w:sz w:val="21"/>
          <w:szCs w:val="21"/>
        </w:rPr>
        <w:lastRenderedPageBreak/>
        <w:t xml:space="preserve">framework for reconciliation as articulated through </w:t>
      </w:r>
      <w:hyperlink r:id="rId15" w:history="1">
        <w:r w:rsidR="0047088E" w:rsidRPr="00CE0903">
          <w:rPr>
            <w:rStyle w:val="Hyperlink"/>
            <w:sz w:val="21"/>
            <w:szCs w:val="21"/>
          </w:rPr>
          <w:t>BC’s Declaration on the Rights on Indigenous Peoples Act (2019)</w:t>
        </w:r>
      </w:hyperlink>
      <w:r w:rsidR="0047088E" w:rsidRPr="00CE0903">
        <w:rPr>
          <w:sz w:val="21"/>
          <w:szCs w:val="21"/>
        </w:rPr>
        <w:t>.</w:t>
      </w:r>
    </w:p>
    <w:p w14:paraId="2067F39D" w14:textId="77777777" w:rsidR="0047088E" w:rsidRPr="00CE0903" w:rsidRDefault="0047088E" w:rsidP="00824332">
      <w:pPr>
        <w:rPr>
          <w:sz w:val="21"/>
          <w:szCs w:val="21"/>
        </w:rPr>
      </w:pPr>
    </w:p>
    <w:p w14:paraId="3525AA25" w14:textId="43F8D4CE" w:rsidR="00E614F4" w:rsidRPr="00CE0903" w:rsidRDefault="00824332">
      <w:pPr>
        <w:rPr>
          <w:sz w:val="21"/>
          <w:szCs w:val="21"/>
        </w:rPr>
      </w:pPr>
      <w:r w:rsidRPr="00CE0903">
        <w:rPr>
          <w:sz w:val="21"/>
          <w:szCs w:val="21"/>
        </w:rPr>
        <w:t xml:space="preserve">Collectively, and as a shared responsibility, </w:t>
      </w:r>
      <w:r w:rsidR="009821EA" w:rsidRPr="00CE0903">
        <w:rPr>
          <w:sz w:val="21"/>
          <w:szCs w:val="21"/>
        </w:rPr>
        <w:t>we</w:t>
      </w:r>
      <w:r w:rsidRPr="00CE0903">
        <w:rPr>
          <w:sz w:val="21"/>
          <w:szCs w:val="21"/>
        </w:rPr>
        <w:t xml:space="preserve"> agree to engage in the critical self-reflection and self-correction needed to identify and dismantle barriers to develop</w:t>
      </w:r>
      <w:r w:rsidR="0084163D" w:rsidRPr="00CE0903">
        <w:rPr>
          <w:sz w:val="21"/>
          <w:szCs w:val="21"/>
        </w:rPr>
        <w:t>ing</w:t>
      </w:r>
      <w:r w:rsidRPr="00CE0903">
        <w:rPr>
          <w:sz w:val="21"/>
          <w:szCs w:val="21"/>
        </w:rPr>
        <w:t xml:space="preserve"> learning programs, policies, and decision-making processes that work to advance equitable access, opportunities, and resourcing across all </w:t>
      </w:r>
      <w:r w:rsidR="004739DA" w:rsidRPr="00CE0903">
        <w:rPr>
          <w:sz w:val="21"/>
          <w:szCs w:val="21"/>
        </w:rPr>
        <w:t>academic units and</w:t>
      </w:r>
      <w:r w:rsidRPr="00CE0903">
        <w:rPr>
          <w:sz w:val="21"/>
          <w:szCs w:val="21"/>
        </w:rPr>
        <w:t xml:space="preserve"> programs</w:t>
      </w:r>
      <w:r w:rsidR="0084163D" w:rsidRPr="00CE0903">
        <w:rPr>
          <w:sz w:val="21"/>
          <w:szCs w:val="21"/>
        </w:rPr>
        <w:t xml:space="preserve"> in the Faculty of Education</w:t>
      </w:r>
      <w:r w:rsidRPr="00CE0903">
        <w:rPr>
          <w:sz w:val="21"/>
          <w:szCs w:val="21"/>
        </w:rPr>
        <w:t>.</w:t>
      </w:r>
      <w:r w:rsidR="009821EA" w:rsidRPr="00CE0903">
        <w:rPr>
          <w:sz w:val="21"/>
          <w:szCs w:val="21"/>
        </w:rPr>
        <w:t xml:space="preserve"> </w:t>
      </w:r>
    </w:p>
    <w:p w14:paraId="0C09791F" w14:textId="77777777" w:rsidR="00E614F4" w:rsidRPr="00CE0903" w:rsidRDefault="00E614F4">
      <w:pPr>
        <w:rPr>
          <w:sz w:val="21"/>
          <w:szCs w:val="21"/>
        </w:rPr>
      </w:pPr>
    </w:p>
    <w:p w14:paraId="582FCBFE" w14:textId="0FC732AD" w:rsidR="00FC55E0" w:rsidRPr="00FC55E0" w:rsidRDefault="00952BDA">
      <w:pPr>
        <w:rPr>
          <w:sz w:val="21"/>
          <w:szCs w:val="21"/>
        </w:rPr>
      </w:pPr>
      <w:r w:rsidRPr="00CE0903">
        <w:rPr>
          <w:sz w:val="21"/>
          <w:szCs w:val="21"/>
        </w:rPr>
        <w:t xml:space="preserve">Please consult the </w:t>
      </w:r>
      <w:hyperlink r:id="rId16" w:history="1">
        <w:r w:rsidRPr="00CE0903">
          <w:rPr>
            <w:rStyle w:val="Hyperlink"/>
            <w:sz w:val="21"/>
            <w:szCs w:val="21"/>
          </w:rPr>
          <w:t>Faculty of Education’s Diversity and Equity Resources</w:t>
        </w:r>
      </w:hyperlink>
      <w:r w:rsidRPr="00CE0903">
        <w:rPr>
          <w:sz w:val="21"/>
          <w:szCs w:val="21"/>
        </w:rPr>
        <w:t xml:space="preserve"> and the </w:t>
      </w:r>
      <w:hyperlink r:id="rId17" w:history="1">
        <w:r w:rsidRPr="00CE0903">
          <w:rPr>
            <w:rStyle w:val="Hyperlink"/>
            <w:sz w:val="21"/>
            <w:szCs w:val="21"/>
          </w:rPr>
          <w:t>University of Victoria’s Policy on Human Rights, Equity and Fairness (GV0200)</w:t>
        </w:r>
      </w:hyperlink>
      <w:r w:rsidRPr="00CE0903">
        <w:rPr>
          <w:sz w:val="21"/>
          <w:szCs w:val="21"/>
        </w:rPr>
        <w:t xml:space="preserve"> for additional information in support of t</w:t>
      </w:r>
      <w:r w:rsidR="000079B8" w:rsidRPr="00CE0903">
        <w:rPr>
          <w:sz w:val="21"/>
          <w:szCs w:val="21"/>
        </w:rPr>
        <w:t>his</w:t>
      </w:r>
      <w:r w:rsidRPr="00CE0903">
        <w:rPr>
          <w:sz w:val="21"/>
          <w:szCs w:val="21"/>
        </w:rPr>
        <w:t xml:space="preserve"> statement.</w:t>
      </w:r>
    </w:p>
    <w:sectPr w:rsidR="00FC55E0" w:rsidRPr="00FC55E0" w:rsidSect="00E36184">
      <w:footerReference w:type="default" r:id="rId18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374E" w14:textId="77777777" w:rsidR="006C5D75" w:rsidRDefault="006C5D75" w:rsidP="00637293">
      <w:r>
        <w:separator/>
      </w:r>
    </w:p>
  </w:endnote>
  <w:endnote w:type="continuationSeparator" w:id="0">
    <w:p w14:paraId="68130109" w14:textId="77777777" w:rsidR="006C5D75" w:rsidRDefault="006C5D75" w:rsidP="0063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ADDD" w14:textId="05456474" w:rsidR="00637293" w:rsidRDefault="00637293" w:rsidP="00637293">
    <w:pPr>
      <w:pStyle w:val="Footer"/>
    </w:pPr>
  </w:p>
  <w:p w14:paraId="22FACD82" w14:textId="77777777" w:rsidR="00637293" w:rsidRDefault="00637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6DA1" w14:textId="77777777" w:rsidR="006C5D75" w:rsidRDefault="006C5D75" w:rsidP="00637293">
      <w:r>
        <w:separator/>
      </w:r>
    </w:p>
  </w:footnote>
  <w:footnote w:type="continuationSeparator" w:id="0">
    <w:p w14:paraId="724D2406" w14:textId="77777777" w:rsidR="006C5D75" w:rsidRDefault="006C5D75" w:rsidP="00637293">
      <w:r>
        <w:continuationSeparator/>
      </w:r>
    </w:p>
  </w:footnote>
  <w:footnote w:id="1">
    <w:p w14:paraId="23144AEF" w14:textId="458D668A" w:rsidR="00637293" w:rsidRPr="00637293" w:rsidRDefault="00637293">
      <w:pPr>
        <w:pStyle w:val="FootnoteText"/>
        <w:rPr>
          <w:lang w:val="mi-NZ"/>
        </w:rPr>
      </w:pPr>
      <w:r>
        <w:rPr>
          <w:rStyle w:val="FootnoteReference"/>
        </w:rPr>
        <w:footnoteRef/>
      </w:r>
      <w:r>
        <w:t xml:space="preserve">  University of Victoria Indigenous Plan 2017-2022, p. 9.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21FAD"/>
    <w:multiLevelType w:val="hybridMultilevel"/>
    <w:tmpl w:val="A9F2477E"/>
    <w:lvl w:ilvl="0" w:tplc="EAA08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A1D4F"/>
    <w:multiLevelType w:val="hybridMultilevel"/>
    <w:tmpl w:val="CB147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43306"/>
    <w:multiLevelType w:val="hybridMultilevel"/>
    <w:tmpl w:val="D1B0F1CA"/>
    <w:lvl w:ilvl="0" w:tplc="672224C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2190999">
    <w:abstractNumId w:val="0"/>
  </w:num>
  <w:num w:numId="2" w16cid:durableId="1349794621">
    <w:abstractNumId w:val="1"/>
  </w:num>
  <w:num w:numId="3" w16cid:durableId="739909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52"/>
    <w:rsid w:val="000079B8"/>
    <w:rsid w:val="00024F3D"/>
    <w:rsid w:val="00043265"/>
    <w:rsid w:val="00044CF4"/>
    <w:rsid w:val="00054B80"/>
    <w:rsid w:val="00060800"/>
    <w:rsid w:val="00061D35"/>
    <w:rsid w:val="000B5529"/>
    <w:rsid w:val="000E04B3"/>
    <w:rsid w:val="001101D8"/>
    <w:rsid w:val="001103BF"/>
    <w:rsid w:val="00123A6B"/>
    <w:rsid w:val="0014207F"/>
    <w:rsid w:val="001446D3"/>
    <w:rsid w:val="00157659"/>
    <w:rsid w:val="00192898"/>
    <w:rsid w:val="001B30D6"/>
    <w:rsid w:val="001D3D66"/>
    <w:rsid w:val="001E1C6A"/>
    <w:rsid w:val="001E60A6"/>
    <w:rsid w:val="00222625"/>
    <w:rsid w:val="00287A31"/>
    <w:rsid w:val="002D3665"/>
    <w:rsid w:val="002E410E"/>
    <w:rsid w:val="003044E7"/>
    <w:rsid w:val="00366D72"/>
    <w:rsid w:val="00366EA8"/>
    <w:rsid w:val="003E4232"/>
    <w:rsid w:val="003F168F"/>
    <w:rsid w:val="00435701"/>
    <w:rsid w:val="004704B9"/>
    <w:rsid w:val="0047088E"/>
    <w:rsid w:val="004739DA"/>
    <w:rsid w:val="004A7AFB"/>
    <w:rsid w:val="004B21D9"/>
    <w:rsid w:val="004C59B2"/>
    <w:rsid w:val="004D44C7"/>
    <w:rsid w:val="004E7A78"/>
    <w:rsid w:val="004F3666"/>
    <w:rsid w:val="004F428B"/>
    <w:rsid w:val="004F7C36"/>
    <w:rsid w:val="00500EB7"/>
    <w:rsid w:val="00503050"/>
    <w:rsid w:val="00525FE5"/>
    <w:rsid w:val="00540225"/>
    <w:rsid w:val="0054081C"/>
    <w:rsid w:val="0055225D"/>
    <w:rsid w:val="0056314F"/>
    <w:rsid w:val="00576A0A"/>
    <w:rsid w:val="005D0430"/>
    <w:rsid w:val="005D3606"/>
    <w:rsid w:val="005E2F89"/>
    <w:rsid w:val="005E53EE"/>
    <w:rsid w:val="005F7B47"/>
    <w:rsid w:val="00635AC0"/>
    <w:rsid w:val="00637293"/>
    <w:rsid w:val="00646E8D"/>
    <w:rsid w:val="00650C76"/>
    <w:rsid w:val="0067005E"/>
    <w:rsid w:val="00673DEA"/>
    <w:rsid w:val="0067766C"/>
    <w:rsid w:val="006C5D75"/>
    <w:rsid w:val="006C63D0"/>
    <w:rsid w:val="006D30A1"/>
    <w:rsid w:val="006D68BD"/>
    <w:rsid w:val="006F0D75"/>
    <w:rsid w:val="0070380A"/>
    <w:rsid w:val="00737252"/>
    <w:rsid w:val="007440CF"/>
    <w:rsid w:val="0075207B"/>
    <w:rsid w:val="00785BB2"/>
    <w:rsid w:val="0079350A"/>
    <w:rsid w:val="007A0CE6"/>
    <w:rsid w:val="007B5C23"/>
    <w:rsid w:val="007B70CB"/>
    <w:rsid w:val="007C6636"/>
    <w:rsid w:val="007E0C39"/>
    <w:rsid w:val="007F7016"/>
    <w:rsid w:val="00814763"/>
    <w:rsid w:val="00824332"/>
    <w:rsid w:val="0084163D"/>
    <w:rsid w:val="008442DF"/>
    <w:rsid w:val="008464CD"/>
    <w:rsid w:val="0087209E"/>
    <w:rsid w:val="00876E7F"/>
    <w:rsid w:val="00885D9C"/>
    <w:rsid w:val="0089798C"/>
    <w:rsid w:val="008B4B5F"/>
    <w:rsid w:val="008E1836"/>
    <w:rsid w:val="008F7D99"/>
    <w:rsid w:val="00913C76"/>
    <w:rsid w:val="00916D26"/>
    <w:rsid w:val="00920E3A"/>
    <w:rsid w:val="009230E2"/>
    <w:rsid w:val="00926B2A"/>
    <w:rsid w:val="00927B52"/>
    <w:rsid w:val="00931E70"/>
    <w:rsid w:val="00937149"/>
    <w:rsid w:val="00952BDA"/>
    <w:rsid w:val="009821EA"/>
    <w:rsid w:val="00983211"/>
    <w:rsid w:val="009910B4"/>
    <w:rsid w:val="009B3C59"/>
    <w:rsid w:val="009D3400"/>
    <w:rsid w:val="009D39F6"/>
    <w:rsid w:val="009E7916"/>
    <w:rsid w:val="00A06FF3"/>
    <w:rsid w:val="00A27747"/>
    <w:rsid w:val="00A40339"/>
    <w:rsid w:val="00A40B24"/>
    <w:rsid w:val="00A6776E"/>
    <w:rsid w:val="00AB5821"/>
    <w:rsid w:val="00AC3EE2"/>
    <w:rsid w:val="00AE34CA"/>
    <w:rsid w:val="00AE7B67"/>
    <w:rsid w:val="00AE7F8E"/>
    <w:rsid w:val="00AF26EB"/>
    <w:rsid w:val="00B06549"/>
    <w:rsid w:val="00B35FA5"/>
    <w:rsid w:val="00B86746"/>
    <w:rsid w:val="00BA0723"/>
    <w:rsid w:val="00BC2AC6"/>
    <w:rsid w:val="00BC65E0"/>
    <w:rsid w:val="00BC76AF"/>
    <w:rsid w:val="00BD2357"/>
    <w:rsid w:val="00BD3C69"/>
    <w:rsid w:val="00BF3E6D"/>
    <w:rsid w:val="00BF442D"/>
    <w:rsid w:val="00C029C5"/>
    <w:rsid w:val="00C06F4F"/>
    <w:rsid w:val="00C13CA4"/>
    <w:rsid w:val="00C154CA"/>
    <w:rsid w:val="00C36A29"/>
    <w:rsid w:val="00C54A63"/>
    <w:rsid w:val="00C56C1E"/>
    <w:rsid w:val="00C7253D"/>
    <w:rsid w:val="00C91518"/>
    <w:rsid w:val="00CC1E4C"/>
    <w:rsid w:val="00CC6B0D"/>
    <w:rsid w:val="00CD5A54"/>
    <w:rsid w:val="00CE0903"/>
    <w:rsid w:val="00D67CAE"/>
    <w:rsid w:val="00D97B20"/>
    <w:rsid w:val="00DE0079"/>
    <w:rsid w:val="00E017A0"/>
    <w:rsid w:val="00E01AB3"/>
    <w:rsid w:val="00E32215"/>
    <w:rsid w:val="00E36184"/>
    <w:rsid w:val="00E43E15"/>
    <w:rsid w:val="00E45062"/>
    <w:rsid w:val="00E50B79"/>
    <w:rsid w:val="00E614F4"/>
    <w:rsid w:val="00EA4495"/>
    <w:rsid w:val="00EB7733"/>
    <w:rsid w:val="00EC0533"/>
    <w:rsid w:val="00EC6F94"/>
    <w:rsid w:val="00EE2706"/>
    <w:rsid w:val="00EE7F8F"/>
    <w:rsid w:val="00EF7461"/>
    <w:rsid w:val="00EF7E73"/>
    <w:rsid w:val="00EF7F97"/>
    <w:rsid w:val="00F32187"/>
    <w:rsid w:val="00F363A5"/>
    <w:rsid w:val="00F462C1"/>
    <w:rsid w:val="00F65799"/>
    <w:rsid w:val="00F66909"/>
    <w:rsid w:val="00F91290"/>
    <w:rsid w:val="00FA076E"/>
    <w:rsid w:val="00FA5068"/>
    <w:rsid w:val="00FC48D4"/>
    <w:rsid w:val="00FC55E0"/>
    <w:rsid w:val="00FE483F"/>
    <w:rsid w:val="00FE782F"/>
    <w:rsid w:val="00FF5CA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D1806"/>
  <w15:chartTrackingRefBased/>
  <w15:docId w15:val="{630EAEAB-BAFE-EE41-994B-6A67B875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B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0B2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7F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0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7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76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72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293"/>
  </w:style>
  <w:style w:type="paragraph" w:styleId="Footer">
    <w:name w:val="footer"/>
    <w:basedOn w:val="Normal"/>
    <w:link w:val="FooterChar"/>
    <w:uiPriority w:val="99"/>
    <w:unhideWhenUsed/>
    <w:rsid w:val="006372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293"/>
  </w:style>
  <w:style w:type="paragraph" w:styleId="FootnoteText">
    <w:name w:val="footnote text"/>
    <w:basedOn w:val="Normal"/>
    <w:link w:val="FootnoteTextChar"/>
    <w:uiPriority w:val="99"/>
    <w:semiHidden/>
    <w:unhideWhenUsed/>
    <w:rsid w:val="006372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72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72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aanc-cirnac.gc.ca/eng/1524504501233/1557513602139" TargetMode="External"/><Relationship Id="rId13" Type="http://schemas.openxmlformats.org/officeDocument/2006/relationships/hyperlink" Target="https://laws-lois.justice.gc.ca/eng/const/page-12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.org/en/about-us/universal-declaration-of-human-rights" TargetMode="External"/><Relationship Id="rId17" Type="http://schemas.openxmlformats.org/officeDocument/2006/relationships/hyperlink" Target="https://www.uvic.ca/equity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vic.ca/education/resources/diversity-equity/index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sc.utoronto.ca/principal/sites/utsc.utoronto.ca.principal/files/docs/Scarborough_Charter_EN_Nov202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2.gov.bc.ca/gov/content/governments/indigenous-people/new-relationship/united-nations-declaration-on-the-rights-of-indigenous-peoples" TargetMode="External"/><Relationship Id="rId10" Type="http://schemas.openxmlformats.org/officeDocument/2006/relationships/hyperlink" Target="https://www.uvic.ca/strategicframework/index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vic.ca/assets2012/docs/indigenous-plan.pdf" TargetMode="External"/><Relationship Id="rId14" Type="http://schemas.openxmlformats.org/officeDocument/2006/relationships/hyperlink" Target="https://www.un.org/development/desa/indigenouspeoples/wp-content/uploads/sites/19/2018/11/UNDRIP_E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6306DE-8115-2649-B0BA-6326F2BA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Whitinui</dc:creator>
  <cp:keywords/>
  <dc:description/>
  <cp:lastModifiedBy>Paul Whitinui</cp:lastModifiedBy>
  <cp:revision>2</cp:revision>
  <cp:lastPrinted>2022-02-09T16:47:00Z</cp:lastPrinted>
  <dcterms:created xsi:type="dcterms:W3CDTF">2023-05-30T20:26:00Z</dcterms:created>
  <dcterms:modified xsi:type="dcterms:W3CDTF">2023-05-30T20:26:00Z</dcterms:modified>
</cp:coreProperties>
</file>