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20417" w14:textId="77777777" w:rsidR="00DB38BE" w:rsidRPr="00685DAE" w:rsidRDefault="00DB38BE" w:rsidP="00966900">
      <w:pPr>
        <w:pStyle w:val="Heading1"/>
        <w:jc w:val="left"/>
        <w:rPr>
          <w:rFonts w:asciiTheme="majorHAnsi" w:hAnsiTheme="majorHAnsi" w:cstheme="majorHAnsi"/>
          <w:sz w:val="28"/>
        </w:rPr>
      </w:pPr>
    </w:p>
    <w:p w14:paraId="4593B16F" w14:textId="77777777" w:rsidR="00DB38BE" w:rsidRPr="00685DAE" w:rsidRDefault="00DB38BE" w:rsidP="00966900">
      <w:pPr>
        <w:pStyle w:val="Heading1"/>
        <w:rPr>
          <w:rFonts w:asciiTheme="majorHAnsi" w:hAnsiTheme="majorHAnsi" w:cstheme="majorHAnsi"/>
          <w:sz w:val="28"/>
        </w:rPr>
      </w:pPr>
      <w:r w:rsidRPr="00685DAE">
        <w:rPr>
          <w:rFonts w:asciiTheme="majorHAnsi" w:hAnsiTheme="majorHAnsi" w:cstheme="majorHAnsi"/>
          <w:sz w:val="32"/>
        </w:rPr>
        <w:t>SESSIONAL INSTRUCTORS</w:t>
      </w:r>
    </w:p>
    <w:p w14:paraId="4E0AC950" w14:textId="77777777" w:rsidR="00DB38BE" w:rsidRPr="00685DAE" w:rsidRDefault="00DB38BE">
      <w:pPr>
        <w:rPr>
          <w:rFonts w:asciiTheme="majorHAnsi" w:hAnsiTheme="majorHAnsi" w:cstheme="majorHAnsi"/>
        </w:rPr>
      </w:pPr>
    </w:p>
    <w:p w14:paraId="0ED9E1AD" w14:textId="77777777" w:rsidR="00DB38BE" w:rsidRPr="00685DAE" w:rsidRDefault="00DB38BE">
      <w:pPr>
        <w:ind w:right="-180"/>
        <w:rPr>
          <w:rFonts w:asciiTheme="majorHAnsi" w:hAnsiTheme="majorHAnsi" w:cstheme="majorHAnsi"/>
        </w:rPr>
      </w:pPr>
      <w:r w:rsidRPr="00685DAE">
        <w:rPr>
          <w:rFonts w:asciiTheme="majorHAnsi" w:hAnsiTheme="majorHAnsi" w:cstheme="majorHAnsi"/>
        </w:rPr>
        <w:t xml:space="preserve">The School of Child and Youth Care at the University of Victoria invites expressions of interest from individuals interested in sessional teaching in our undergraduate CYC programs on campus and through distributed learning.  Courses are offered throughout the </w:t>
      </w:r>
      <w:proofErr w:type="gramStart"/>
      <w:r w:rsidRPr="00685DAE">
        <w:rPr>
          <w:rFonts w:asciiTheme="majorHAnsi" w:hAnsiTheme="majorHAnsi" w:cstheme="majorHAnsi"/>
        </w:rPr>
        <w:t>Winter</w:t>
      </w:r>
      <w:proofErr w:type="gramEnd"/>
      <w:r w:rsidRPr="00685DAE">
        <w:rPr>
          <w:rFonts w:asciiTheme="majorHAnsi" w:hAnsiTheme="majorHAnsi" w:cstheme="majorHAnsi"/>
        </w:rPr>
        <w:t xml:space="preserve"> (two terms: September-December, and January-April) and Summer (May-August).  </w:t>
      </w:r>
    </w:p>
    <w:p w14:paraId="57B354A1" w14:textId="77777777" w:rsidR="00DB38BE" w:rsidRPr="00685DAE" w:rsidRDefault="00DB38BE">
      <w:pPr>
        <w:rPr>
          <w:rFonts w:asciiTheme="majorHAnsi" w:hAnsiTheme="majorHAnsi" w:cstheme="majorHAnsi"/>
        </w:rPr>
      </w:pPr>
    </w:p>
    <w:p w14:paraId="15C299D4" w14:textId="77777777" w:rsidR="00DB38BE" w:rsidRPr="00685DAE" w:rsidRDefault="00DB38BE">
      <w:pPr>
        <w:rPr>
          <w:rFonts w:asciiTheme="majorHAnsi" w:hAnsiTheme="majorHAnsi" w:cstheme="majorHAnsi"/>
        </w:rPr>
      </w:pPr>
      <w:r w:rsidRPr="00685DAE">
        <w:rPr>
          <w:rFonts w:asciiTheme="majorHAnsi" w:hAnsiTheme="majorHAnsi" w:cstheme="majorHAnsi"/>
          <w:i/>
        </w:rPr>
        <w:t>General responsibilities for a course include:</w:t>
      </w:r>
      <w:r w:rsidRPr="00685DAE">
        <w:rPr>
          <w:rFonts w:asciiTheme="majorHAnsi" w:hAnsiTheme="majorHAnsi" w:cstheme="majorHAnsi"/>
        </w:rPr>
        <w:tab/>
      </w:r>
    </w:p>
    <w:p w14:paraId="65941EB9" w14:textId="5E28CE01" w:rsidR="00DB38BE" w:rsidRPr="00685DAE" w:rsidRDefault="00DB38BE">
      <w:pPr>
        <w:pStyle w:val="BodyText"/>
        <w:ind w:left="720"/>
        <w:rPr>
          <w:rFonts w:asciiTheme="majorHAnsi" w:hAnsiTheme="majorHAnsi" w:cstheme="majorHAnsi"/>
          <w:sz w:val="24"/>
        </w:rPr>
      </w:pPr>
      <w:r w:rsidRPr="00685DAE">
        <w:rPr>
          <w:rFonts w:asciiTheme="majorHAnsi" w:hAnsiTheme="majorHAnsi" w:cstheme="majorHAnsi"/>
          <w:sz w:val="24"/>
        </w:rPr>
        <w:t>•teaching the classroom sessions or through distance delive</w:t>
      </w:r>
      <w:r w:rsidR="00EF289F" w:rsidRPr="00685DAE">
        <w:rPr>
          <w:rFonts w:asciiTheme="majorHAnsi" w:hAnsiTheme="majorHAnsi" w:cstheme="majorHAnsi"/>
          <w:sz w:val="24"/>
        </w:rPr>
        <w:t>ry (workshops, teleconferences</w:t>
      </w:r>
      <w:r w:rsidRPr="00685DAE">
        <w:rPr>
          <w:rFonts w:asciiTheme="majorHAnsi" w:hAnsiTheme="majorHAnsi" w:cstheme="majorHAnsi"/>
          <w:sz w:val="24"/>
        </w:rPr>
        <w:t>, etc.)</w:t>
      </w:r>
    </w:p>
    <w:p w14:paraId="7E6B8EB2" w14:textId="77777777" w:rsidR="00DB38BE" w:rsidRPr="00685DAE" w:rsidRDefault="00DB38BE">
      <w:pPr>
        <w:pStyle w:val="BodyTextIndent"/>
        <w:rPr>
          <w:rFonts w:asciiTheme="majorHAnsi" w:hAnsiTheme="majorHAnsi" w:cstheme="majorHAnsi"/>
          <w:sz w:val="24"/>
        </w:rPr>
      </w:pPr>
      <w:r w:rsidRPr="00685DAE">
        <w:rPr>
          <w:rFonts w:asciiTheme="majorHAnsi" w:hAnsiTheme="majorHAnsi" w:cstheme="majorHAnsi"/>
          <w:sz w:val="24"/>
        </w:rPr>
        <w:t>•consulting with students and being available to them through office hours, electronic communication and telephone</w:t>
      </w:r>
    </w:p>
    <w:p w14:paraId="7F4E4DA7" w14:textId="77777777" w:rsidR="00DB38BE" w:rsidRPr="00685DAE" w:rsidRDefault="00DB38BE">
      <w:pPr>
        <w:ind w:left="720"/>
        <w:rPr>
          <w:rFonts w:asciiTheme="majorHAnsi" w:hAnsiTheme="majorHAnsi" w:cstheme="majorHAnsi"/>
        </w:rPr>
      </w:pPr>
      <w:r w:rsidRPr="00685DAE">
        <w:rPr>
          <w:rFonts w:asciiTheme="majorHAnsi" w:hAnsiTheme="majorHAnsi" w:cstheme="majorHAnsi"/>
        </w:rPr>
        <w:t>•evaluating student learning, including grading of assignments</w:t>
      </w:r>
    </w:p>
    <w:p w14:paraId="7A05FDC5" w14:textId="77777777" w:rsidR="00DB38BE" w:rsidRPr="00685DAE" w:rsidRDefault="00DB38BE">
      <w:pPr>
        <w:ind w:left="720"/>
        <w:rPr>
          <w:rFonts w:asciiTheme="majorHAnsi" w:hAnsiTheme="majorHAnsi" w:cstheme="majorHAnsi"/>
        </w:rPr>
      </w:pPr>
      <w:r w:rsidRPr="00685DAE">
        <w:rPr>
          <w:rFonts w:asciiTheme="majorHAnsi" w:hAnsiTheme="majorHAnsi" w:cstheme="majorHAnsi"/>
        </w:rPr>
        <w:t>•working collaboratively with other instructors</w:t>
      </w:r>
    </w:p>
    <w:p w14:paraId="52E56361" w14:textId="6DD2E88F" w:rsidR="00DB38BE" w:rsidRPr="00685DAE" w:rsidRDefault="00DB38BE">
      <w:pPr>
        <w:ind w:left="720"/>
        <w:rPr>
          <w:rFonts w:asciiTheme="majorHAnsi" w:hAnsiTheme="majorHAnsi" w:cstheme="majorHAnsi"/>
        </w:rPr>
      </w:pPr>
      <w:r w:rsidRPr="00685DAE">
        <w:rPr>
          <w:rFonts w:asciiTheme="majorHAnsi" w:hAnsiTheme="majorHAnsi" w:cstheme="majorHAnsi"/>
        </w:rPr>
        <w:t>•</w:t>
      </w:r>
      <w:r w:rsidR="005F1CF3" w:rsidRPr="00685DAE">
        <w:rPr>
          <w:rFonts w:asciiTheme="majorHAnsi" w:hAnsiTheme="majorHAnsi" w:cstheme="majorHAnsi"/>
        </w:rPr>
        <w:t xml:space="preserve">a </w:t>
      </w:r>
      <w:r w:rsidRPr="00685DAE">
        <w:rPr>
          <w:rFonts w:asciiTheme="majorHAnsi" w:hAnsiTheme="majorHAnsi" w:cstheme="majorHAnsi"/>
        </w:rPr>
        <w:t xml:space="preserve">working knowledge of instructional technology </w:t>
      </w:r>
    </w:p>
    <w:p w14:paraId="452260F9" w14:textId="77777777" w:rsidR="00DB38BE" w:rsidRPr="00685DAE" w:rsidRDefault="00DB38BE">
      <w:pPr>
        <w:rPr>
          <w:rFonts w:asciiTheme="majorHAnsi" w:hAnsiTheme="majorHAnsi" w:cstheme="majorHAnsi"/>
        </w:rPr>
      </w:pPr>
    </w:p>
    <w:p w14:paraId="52EEF70A" w14:textId="5931A013" w:rsidR="00DB38BE" w:rsidRPr="00685DAE" w:rsidRDefault="00DB38BE">
      <w:pPr>
        <w:outlineLvl w:val="0"/>
        <w:rPr>
          <w:rFonts w:asciiTheme="majorHAnsi" w:hAnsiTheme="majorHAnsi" w:cstheme="majorHAnsi"/>
        </w:rPr>
      </w:pPr>
      <w:r w:rsidRPr="00685DAE">
        <w:rPr>
          <w:rFonts w:asciiTheme="majorHAnsi" w:hAnsiTheme="majorHAnsi" w:cstheme="majorHAnsi"/>
        </w:rPr>
        <w:t>Cours</w:t>
      </w:r>
      <w:r w:rsidR="0067129D" w:rsidRPr="00685DAE">
        <w:rPr>
          <w:rFonts w:asciiTheme="majorHAnsi" w:hAnsiTheme="majorHAnsi" w:cstheme="majorHAnsi"/>
        </w:rPr>
        <w:t>es available for the Winter 2017-2018</w:t>
      </w:r>
      <w:r w:rsidRPr="00685DAE">
        <w:rPr>
          <w:rFonts w:asciiTheme="majorHAnsi" w:hAnsiTheme="majorHAnsi" w:cstheme="majorHAnsi"/>
        </w:rPr>
        <w:t xml:space="preserve"> session are posted with this notice.  Please indicate your preferences.</w:t>
      </w:r>
    </w:p>
    <w:p w14:paraId="4FFB8A18" w14:textId="38BEA0AC" w:rsidR="008833FE" w:rsidRPr="00685DAE" w:rsidRDefault="008833FE">
      <w:pPr>
        <w:rPr>
          <w:rFonts w:asciiTheme="majorHAnsi" w:hAnsiTheme="majorHAnsi" w:cstheme="majorHAnsi"/>
        </w:rPr>
      </w:pPr>
    </w:p>
    <w:p w14:paraId="7FEDA94F" w14:textId="1465C74B" w:rsidR="008833FE" w:rsidRPr="00685DAE" w:rsidRDefault="008833FE" w:rsidP="008833FE">
      <w:pPr>
        <w:widowControl w:val="0"/>
        <w:autoSpaceDE w:val="0"/>
        <w:autoSpaceDN w:val="0"/>
        <w:adjustRightInd w:val="0"/>
        <w:rPr>
          <w:rFonts w:asciiTheme="majorHAnsi" w:hAnsiTheme="majorHAnsi" w:cstheme="majorHAnsi"/>
          <w:szCs w:val="22"/>
        </w:rPr>
      </w:pPr>
      <w:r w:rsidRPr="00685DAE">
        <w:rPr>
          <w:rFonts w:asciiTheme="majorHAnsi" w:hAnsiTheme="majorHAnsi" w:cstheme="majorHAnsi"/>
          <w:szCs w:val="22"/>
        </w:rPr>
        <w:t xml:space="preserve">Please note that each year we have more expressions of interest than we have teaching opportunities, and each year we have a different mix of variables that need to be taken into account. A number of changes are underway within our School; some of which may affect current teaching opportunities for sessional instructors. First, we have recently hired </w:t>
      </w:r>
      <w:r w:rsidR="0067129D" w:rsidRPr="00685DAE">
        <w:rPr>
          <w:rFonts w:asciiTheme="majorHAnsi" w:hAnsiTheme="majorHAnsi" w:cstheme="majorHAnsi"/>
          <w:szCs w:val="22"/>
        </w:rPr>
        <w:t>two Assistant Professors and an Associate Professor, and</w:t>
      </w:r>
      <w:r w:rsidRPr="00685DAE">
        <w:rPr>
          <w:rFonts w:asciiTheme="majorHAnsi" w:hAnsiTheme="majorHAnsi" w:cstheme="majorHAnsi"/>
          <w:szCs w:val="22"/>
        </w:rPr>
        <w:t xml:space="preserve"> all tenured faculty members are expected to teach at least one course in our undergraduate program.  </w:t>
      </w:r>
      <w:r w:rsidR="0067129D" w:rsidRPr="00685DAE">
        <w:rPr>
          <w:rFonts w:asciiTheme="majorHAnsi" w:hAnsiTheme="majorHAnsi" w:cstheme="majorHAnsi"/>
          <w:szCs w:val="22"/>
        </w:rPr>
        <w:t>Secondly</w:t>
      </w:r>
      <w:r w:rsidRPr="00685DAE">
        <w:rPr>
          <w:rFonts w:asciiTheme="majorHAnsi" w:hAnsiTheme="majorHAnsi" w:cstheme="majorHAnsi"/>
          <w:szCs w:val="22"/>
        </w:rPr>
        <w:t xml:space="preserve">, we have more PhD students teaching for us than ever before and doctoral students are given priority when assigning teaching. </w:t>
      </w:r>
    </w:p>
    <w:p w14:paraId="1CEA1E2F" w14:textId="77777777" w:rsidR="008833FE" w:rsidRPr="00685DAE" w:rsidRDefault="008833FE" w:rsidP="008833FE">
      <w:pPr>
        <w:widowControl w:val="0"/>
        <w:autoSpaceDE w:val="0"/>
        <w:autoSpaceDN w:val="0"/>
        <w:adjustRightInd w:val="0"/>
        <w:rPr>
          <w:rFonts w:asciiTheme="majorHAnsi" w:hAnsiTheme="majorHAnsi" w:cstheme="majorHAnsi"/>
          <w:szCs w:val="22"/>
        </w:rPr>
      </w:pPr>
    </w:p>
    <w:p w14:paraId="642170A5" w14:textId="05A4FA85" w:rsidR="00DB38BE" w:rsidRPr="00685DAE" w:rsidRDefault="00DB38BE">
      <w:pPr>
        <w:ind w:right="-90"/>
        <w:rPr>
          <w:rFonts w:asciiTheme="majorHAnsi" w:hAnsiTheme="majorHAnsi" w:cstheme="majorHAnsi"/>
        </w:rPr>
      </w:pPr>
      <w:r w:rsidRPr="00685DAE">
        <w:rPr>
          <w:rFonts w:asciiTheme="majorHAnsi" w:hAnsiTheme="majorHAnsi" w:cstheme="majorHAnsi"/>
          <w:i/>
        </w:rPr>
        <w:t>Qualifications</w:t>
      </w:r>
      <w:r w:rsidRPr="00685DAE">
        <w:rPr>
          <w:rFonts w:asciiTheme="majorHAnsi" w:hAnsiTheme="majorHAnsi" w:cstheme="majorHAnsi"/>
        </w:rPr>
        <w:t>:  Child and Youth Care practice experience and an MA in CYC or</w:t>
      </w:r>
      <w:r w:rsidR="00461EF4" w:rsidRPr="00685DAE">
        <w:rPr>
          <w:rFonts w:asciiTheme="majorHAnsi" w:hAnsiTheme="majorHAnsi" w:cstheme="majorHAnsi"/>
        </w:rPr>
        <w:t xml:space="preserve"> allied human services fields are</w:t>
      </w:r>
      <w:r w:rsidRPr="00685DAE">
        <w:rPr>
          <w:rFonts w:asciiTheme="majorHAnsi" w:hAnsiTheme="majorHAnsi" w:cstheme="majorHAnsi"/>
        </w:rPr>
        <w:t xml:space="preserve"> essential to these positions.  A PhD in CYC or allied human services fields is preferred.  The salary range for 1.5 units of teaching is $</w:t>
      </w:r>
      <w:r w:rsidR="00E255E4" w:rsidRPr="00685DAE">
        <w:rPr>
          <w:rFonts w:asciiTheme="majorHAnsi" w:hAnsiTheme="majorHAnsi" w:cstheme="majorHAnsi"/>
        </w:rPr>
        <w:t>5,</w:t>
      </w:r>
      <w:r w:rsidR="0067129D" w:rsidRPr="00685DAE">
        <w:rPr>
          <w:rFonts w:asciiTheme="majorHAnsi" w:hAnsiTheme="majorHAnsi" w:cstheme="majorHAnsi"/>
        </w:rPr>
        <w:t>392</w:t>
      </w:r>
      <w:r w:rsidRPr="00685DAE">
        <w:rPr>
          <w:rFonts w:asciiTheme="majorHAnsi" w:hAnsiTheme="majorHAnsi" w:cstheme="majorHAnsi"/>
        </w:rPr>
        <w:t xml:space="preserve"> to $6,</w:t>
      </w:r>
      <w:r w:rsidR="0067129D" w:rsidRPr="00685DAE">
        <w:rPr>
          <w:rFonts w:asciiTheme="majorHAnsi" w:hAnsiTheme="majorHAnsi" w:cstheme="majorHAnsi"/>
        </w:rPr>
        <w:t>556</w:t>
      </w:r>
      <w:r w:rsidRPr="00685DAE">
        <w:rPr>
          <w:rFonts w:asciiTheme="majorHAnsi" w:hAnsiTheme="majorHAnsi" w:cstheme="majorHAnsi"/>
        </w:rPr>
        <w:t xml:space="preserve"> (effective </w:t>
      </w:r>
      <w:r w:rsidR="0067129D" w:rsidRPr="00685DAE">
        <w:rPr>
          <w:rFonts w:asciiTheme="majorHAnsi" w:hAnsiTheme="majorHAnsi" w:cstheme="majorHAnsi"/>
        </w:rPr>
        <w:t>May</w:t>
      </w:r>
      <w:r w:rsidR="00966900" w:rsidRPr="00685DAE">
        <w:rPr>
          <w:rFonts w:asciiTheme="majorHAnsi" w:hAnsiTheme="majorHAnsi" w:cstheme="majorHAnsi"/>
        </w:rPr>
        <w:t xml:space="preserve"> 201</w:t>
      </w:r>
      <w:r w:rsidR="0067129D" w:rsidRPr="00685DAE">
        <w:rPr>
          <w:rFonts w:asciiTheme="majorHAnsi" w:hAnsiTheme="majorHAnsi" w:cstheme="majorHAnsi"/>
        </w:rPr>
        <w:t>7</w:t>
      </w:r>
      <w:r w:rsidRPr="00685DAE">
        <w:rPr>
          <w:rFonts w:asciiTheme="majorHAnsi" w:hAnsiTheme="majorHAnsi" w:cstheme="majorHAnsi"/>
        </w:rPr>
        <w:t>).</w:t>
      </w:r>
    </w:p>
    <w:p w14:paraId="71EB4AF9" w14:textId="77777777" w:rsidR="00DB38BE" w:rsidRPr="00685DAE" w:rsidRDefault="00DB38BE">
      <w:pPr>
        <w:rPr>
          <w:rFonts w:asciiTheme="majorHAnsi" w:hAnsiTheme="majorHAnsi" w:cstheme="majorHAnsi"/>
        </w:rPr>
      </w:pPr>
    </w:p>
    <w:p w14:paraId="6AA814E9" w14:textId="51F97C67" w:rsidR="00DB38BE" w:rsidRPr="00685DAE" w:rsidRDefault="00DB38BE">
      <w:pPr>
        <w:rPr>
          <w:rFonts w:asciiTheme="majorHAnsi" w:hAnsiTheme="majorHAnsi" w:cstheme="majorHAnsi"/>
        </w:rPr>
      </w:pPr>
      <w:r w:rsidRPr="00685DAE">
        <w:rPr>
          <w:rFonts w:asciiTheme="majorHAnsi" w:hAnsiTheme="majorHAnsi" w:cstheme="majorHAnsi"/>
        </w:rPr>
        <w:t xml:space="preserve">Expressions of interest should be forwarded in writing by </w:t>
      </w:r>
      <w:r w:rsidR="00EF289F" w:rsidRPr="00B318DE">
        <w:rPr>
          <w:rFonts w:asciiTheme="majorHAnsi" w:hAnsiTheme="majorHAnsi" w:cstheme="majorHAnsi"/>
          <w:b/>
        </w:rPr>
        <w:t>Tuesday, July 11</w:t>
      </w:r>
      <w:r w:rsidRPr="00B318DE">
        <w:rPr>
          <w:rFonts w:asciiTheme="majorHAnsi" w:hAnsiTheme="majorHAnsi" w:cstheme="majorHAnsi"/>
          <w:b/>
        </w:rPr>
        <w:t>,</w:t>
      </w:r>
      <w:r w:rsidR="0067129D" w:rsidRPr="00B318DE">
        <w:rPr>
          <w:rFonts w:asciiTheme="majorHAnsi" w:hAnsiTheme="majorHAnsi" w:cstheme="majorHAnsi"/>
          <w:b/>
        </w:rPr>
        <w:t xml:space="preserve"> 2017</w:t>
      </w:r>
      <w:r w:rsidRPr="00685DAE">
        <w:rPr>
          <w:rFonts w:asciiTheme="majorHAnsi" w:hAnsiTheme="majorHAnsi" w:cstheme="majorHAnsi"/>
        </w:rPr>
        <w:t xml:space="preserve"> to:</w:t>
      </w:r>
    </w:p>
    <w:p w14:paraId="4D37228F" w14:textId="77777777" w:rsidR="00DB38BE" w:rsidRPr="00685DAE" w:rsidRDefault="00DB38BE">
      <w:pPr>
        <w:rPr>
          <w:rFonts w:asciiTheme="majorHAnsi" w:hAnsiTheme="majorHAnsi" w:cstheme="majorHAnsi"/>
        </w:rPr>
      </w:pPr>
      <w:r w:rsidRPr="00685DAE">
        <w:rPr>
          <w:rFonts w:asciiTheme="majorHAnsi" w:hAnsiTheme="majorHAnsi" w:cstheme="majorHAnsi"/>
        </w:rPr>
        <w:tab/>
      </w:r>
    </w:p>
    <w:p w14:paraId="5735A1B6" w14:textId="77777777" w:rsidR="00DB38BE" w:rsidRPr="00685DAE" w:rsidRDefault="00DB38BE">
      <w:pPr>
        <w:outlineLvl w:val="0"/>
        <w:rPr>
          <w:rFonts w:asciiTheme="majorHAnsi" w:hAnsiTheme="majorHAnsi" w:cstheme="majorHAnsi"/>
        </w:rPr>
      </w:pPr>
      <w:r w:rsidRPr="00685DAE">
        <w:rPr>
          <w:rFonts w:asciiTheme="majorHAnsi" w:hAnsiTheme="majorHAnsi" w:cstheme="majorHAnsi"/>
        </w:rPr>
        <w:tab/>
        <w:t>Director’s Office, School of Child and Youth Care</w:t>
      </w:r>
      <w:bookmarkStart w:id="0" w:name="_GoBack"/>
      <w:bookmarkEnd w:id="0"/>
    </w:p>
    <w:p w14:paraId="3F89B42F" w14:textId="77777777" w:rsidR="00DB38BE" w:rsidRPr="00685DAE" w:rsidRDefault="00DB38BE">
      <w:pPr>
        <w:ind w:left="720"/>
        <w:rPr>
          <w:rFonts w:asciiTheme="majorHAnsi" w:hAnsiTheme="majorHAnsi" w:cstheme="majorHAnsi"/>
        </w:rPr>
      </w:pPr>
      <w:r w:rsidRPr="00685DAE">
        <w:rPr>
          <w:rFonts w:asciiTheme="majorHAnsi" w:hAnsiTheme="majorHAnsi" w:cstheme="majorHAnsi"/>
        </w:rPr>
        <w:t>University of Victoria, HSD Building</w:t>
      </w:r>
    </w:p>
    <w:p w14:paraId="20D24C96" w14:textId="77777777" w:rsidR="00DB38BE" w:rsidRPr="00685DAE" w:rsidRDefault="00DB38BE">
      <w:pPr>
        <w:ind w:left="720"/>
        <w:rPr>
          <w:rFonts w:asciiTheme="majorHAnsi" w:hAnsiTheme="majorHAnsi" w:cstheme="majorHAnsi"/>
        </w:rPr>
      </w:pPr>
      <w:r w:rsidRPr="00685DAE">
        <w:rPr>
          <w:rFonts w:asciiTheme="majorHAnsi" w:hAnsiTheme="majorHAnsi" w:cstheme="majorHAnsi"/>
        </w:rPr>
        <w:t xml:space="preserve">PO Box 1700, </w:t>
      </w:r>
      <w:proofErr w:type="spellStart"/>
      <w:r w:rsidRPr="00685DAE">
        <w:rPr>
          <w:rFonts w:asciiTheme="majorHAnsi" w:hAnsiTheme="majorHAnsi" w:cstheme="majorHAnsi"/>
        </w:rPr>
        <w:t>Stn</w:t>
      </w:r>
      <w:proofErr w:type="spellEnd"/>
      <w:r w:rsidRPr="00685DAE">
        <w:rPr>
          <w:rFonts w:asciiTheme="majorHAnsi" w:hAnsiTheme="majorHAnsi" w:cstheme="majorHAnsi"/>
        </w:rPr>
        <w:t xml:space="preserve"> CSC, Victoria, BC V8W 2Y2</w:t>
      </w:r>
    </w:p>
    <w:p w14:paraId="3ED0E458" w14:textId="77777777" w:rsidR="00DB38BE" w:rsidRPr="00685DAE" w:rsidRDefault="00DB38BE">
      <w:pPr>
        <w:ind w:left="720"/>
        <w:rPr>
          <w:rFonts w:asciiTheme="majorHAnsi" w:hAnsiTheme="majorHAnsi" w:cstheme="majorHAnsi"/>
        </w:rPr>
      </w:pPr>
      <w:r w:rsidRPr="00685DAE">
        <w:rPr>
          <w:rFonts w:asciiTheme="majorHAnsi" w:hAnsiTheme="majorHAnsi" w:cstheme="majorHAnsi"/>
        </w:rPr>
        <w:t xml:space="preserve">Contact: (250) 721-7980 or kwoodhou@uvic.ca </w:t>
      </w:r>
      <w:r w:rsidRPr="00685DAE">
        <w:rPr>
          <w:rFonts w:asciiTheme="majorHAnsi" w:hAnsiTheme="majorHAnsi" w:cstheme="majorHAnsi"/>
        </w:rPr>
        <w:tab/>
      </w:r>
      <w:r w:rsidRPr="00685DAE">
        <w:rPr>
          <w:rFonts w:asciiTheme="majorHAnsi" w:hAnsiTheme="majorHAnsi" w:cstheme="majorHAnsi"/>
        </w:rPr>
        <w:tab/>
      </w:r>
      <w:r w:rsidRPr="00685DAE">
        <w:rPr>
          <w:rFonts w:asciiTheme="majorHAnsi" w:hAnsiTheme="majorHAnsi" w:cstheme="majorHAnsi"/>
        </w:rPr>
        <w:tab/>
      </w:r>
      <w:r w:rsidRPr="00685DAE">
        <w:rPr>
          <w:rFonts w:asciiTheme="majorHAnsi" w:hAnsiTheme="majorHAnsi" w:cstheme="majorHAnsi"/>
        </w:rPr>
        <w:tab/>
      </w:r>
      <w:r w:rsidRPr="00685DAE">
        <w:rPr>
          <w:rFonts w:asciiTheme="majorHAnsi" w:hAnsiTheme="majorHAnsi" w:cstheme="majorHAnsi"/>
        </w:rPr>
        <w:tab/>
      </w:r>
      <w:r w:rsidRPr="00685DAE">
        <w:rPr>
          <w:rFonts w:asciiTheme="majorHAnsi" w:hAnsiTheme="majorHAnsi" w:cstheme="majorHAnsi"/>
        </w:rPr>
        <w:tab/>
      </w:r>
    </w:p>
    <w:p w14:paraId="6ED4D33E" w14:textId="77777777" w:rsidR="00DB38BE" w:rsidRPr="00685DAE" w:rsidRDefault="00DB38BE">
      <w:pPr>
        <w:rPr>
          <w:rFonts w:asciiTheme="majorHAnsi" w:hAnsiTheme="majorHAnsi" w:cstheme="majorHAnsi"/>
        </w:rPr>
      </w:pPr>
    </w:p>
    <w:p w14:paraId="75B8D21A" w14:textId="2D54C15E" w:rsidR="00DB38BE" w:rsidRPr="00685DAE" w:rsidRDefault="00DB38BE">
      <w:pPr>
        <w:rPr>
          <w:rFonts w:asciiTheme="majorHAnsi" w:hAnsiTheme="majorHAnsi" w:cstheme="majorHAnsi"/>
        </w:rPr>
      </w:pPr>
      <w:r w:rsidRPr="00685DAE">
        <w:rPr>
          <w:rFonts w:asciiTheme="majorHAnsi" w:hAnsiTheme="majorHAnsi" w:cstheme="majorHAnsi"/>
        </w:rPr>
        <w:t xml:space="preserve">Decisions regarding applications will be made in </w:t>
      </w:r>
      <w:r w:rsidR="005F1CF3" w:rsidRPr="00685DAE">
        <w:rPr>
          <w:rFonts w:asciiTheme="majorHAnsi" w:hAnsiTheme="majorHAnsi" w:cstheme="majorHAnsi"/>
        </w:rPr>
        <w:t>June/</w:t>
      </w:r>
      <w:r w:rsidRPr="00685DAE">
        <w:rPr>
          <w:rFonts w:asciiTheme="majorHAnsi" w:hAnsiTheme="majorHAnsi" w:cstheme="majorHAnsi"/>
        </w:rPr>
        <w:t>July/August for Winter Session 1</w:t>
      </w:r>
      <w:r w:rsidRPr="00685DAE">
        <w:rPr>
          <w:rFonts w:asciiTheme="majorHAnsi" w:hAnsiTheme="majorHAnsi" w:cstheme="majorHAnsi"/>
          <w:vertAlign w:val="superscript"/>
        </w:rPr>
        <w:t>st</w:t>
      </w:r>
      <w:r w:rsidRPr="00685DAE">
        <w:rPr>
          <w:rFonts w:asciiTheme="majorHAnsi" w:hAnsiTheme="majorHAnsi" w:cstheme="majorHAnsi"/>
        </w:rPr>
        <w:t xml:space="preserve"> term (September-December), in November/December for 2</w:t>
      </w:r>
      <w:r w:rsidRPr="00685DAE">
        <w:rPr>
          <w:rFonts w:asciiTheme="majorHAnsi" w:hAnsiTheme="majorHAnsi" w:cstheme="majorHAnsi"/>
          <w:vertAlign w:val="superscript"/>
        </w:rPr>
        <w:t>nd</w:t>
      </w:r>
      <w:r w:rsidRPr="00685DAE">
        <w:rPr>
          <w:rFonts w:asciiTheme="majorHAnsi" w:hAnsiTheme="majorHAnsi" w:cstheme="majorHAnsi"/>
        </w:rPr>
        <w:t xml:space="preserve"> term (January-April), and March/April for Summer Session (May-August).</w:t>
      </w:r>
    </w:p>
    <w:p w14:paraId="4E6134E4" w14:textId="77777777" w:rsidR="00DB38BE" w:rsidRPr="00685DAE" w:rsidRDefault="00DB38BE">
      <w:pPr>
        <w:rPr>
          <w:rFonts w:asciiTheme="majorHAnsi" w:hAnsiTheme="majorHAnsi" w:cstheme="majorHAnsi"/>
        </w:rPr>
      </w:pPr>
    </w:p>
    <w:p w14:paraId="1D44D5E6" w14:textId="587F4BE9" w:rsidR="00E36F82" w:rsidRPr="00685DAE" w:rsidRDefault="00DB38BE">
      <w:pPr>
        <w:rPr>
          <w:rFonts w:asciiTheme="majorHAnsi" w:hAnsiTheme="majorHAnsi" w:cstheme="majorHAnsi"/>
        </w:rPr>
      </w:pPr>
      <w:r w:rsidRPr="00685DAE">
        <w:rPr>
          <w:rFonts w:asciiTheme="majorHAnsi" w:hAnsiTheme="majorHAnsi" w:cstheme="majorHAnsi"/>
        </w:rPr>
        <w:t xml:space="preserve">For further information on the CYC program and the School of Child and Youth Care please see our website at </w:t>
      </w:r>
      <w:proofErr w:type="gramStart"/>
      <w:r w:rsidRPr="00685DAE">
        <w:rPr>
          <w:rFonts w:asciiTheme="majorHAnsi" w:hAnsiTheme="majorHAnsi" w:cstheme="majorHAnsi"/>
          <w:u w:val="single"/>
        </w:rPr>
        <w:t>www.cyc.uvic.ca</w:t>
      </w:r>
      <w:r w:rsidRPr="00685DAE">
        <w:rPr>
          <w:rFonts w:asciiTheme="majorHAnsi" w:hAnsiTheme="majorHAnsi" w:cstheme="majorHAnsi"/>
        </w:rPr>
        <w:t xml:space="preserve"> </w:t>
      </w:r>
      <w:r w:rsidR="0030055A" w:rsidRPr="00685DAE">
        <w:rPr>
          <w:rFonts w:asciiTheme="majorHAnsi" w:hAnsiTheme="majorHAnsi" w:cstheme="majorHAnsi"/>
        </w:rPr>
        <w:t>.</w:t>
      </w:r>
      <w:proofErr w:type="gramEnd"/>
      <w:r w:rsidRPr="00685DAE">
        <w:rPr>
          <w:rFonts w:asciiTheme="majorHAnsi" w:hAnsiTheme="majorHAnsi" w:cstheme="majorHAnsi"/>
        </w:rPr>
        <w:t xml:space="preserve"> The School of Child and Youth Care reserves the right to fill </w:t>
      </w:r>
      <w:r w:rsidRPr="00685DAE">
        <w:rPr>
          <w:rFonts w:asciiTheme="majorHAnsi" w:hAnsiTheme="majorHAnsi" w:cstheme="majorHAnsi"/>
        </w:rPr>
        <w:lastRenderedPageBreak/>
        <w:t xml:space="preserve">future teaching assignments from the pool of applicants for this posting.  Appointments are subject to sufficient funding and enrollment in courses.  Sessional Instructors are members of CUPE Local 4163 (Component 3).  The University of Victoria is an equity employer and encourages applications from women, persons with disabilities, visible minorities, </w:t>
      </w:r>
      <w:proofErr w:type="gramStart"/>
      <w:r w:rsidR="00994D1D" w:rsidRPr="00685DAE">
        <w:rPr>
          <w:rFonts w:asciiTheme="majorHAnsi" w:hAnsiTheme="majorHAnsi" w:cstheme="majorHAnsi"/>
        </w:rPr>
        <w:t>A</w:t>
      </w:r>
      <w:r w:rsidRPr="00685DAE">
        <w:rPr>
          <w:rFonts w:asciiTheme="majorHAnsi" w:hAnsiTheme="majorHAnsi" w:cstheme="majorHAnsi"/>
        </w:rPr>
        <w:t>boriginal</w:t>
      </w:r>
      <w:proofErr w:type="gramEnd"/>
      <w:r w:rsidRPr="00685DAE">
        <w:rPr>
          <w:rFonts w:asciiTheme="majorHAnsi" w:hAnsiTheme="majorHAnsi" w:cstheme="majorHAnsi"/>
        </w:rPr>
        <w:t xml:space="preserve"> peoples, people of all sexual orientations and genders, and others who may contribute to the further diversification of the University of Victoria.</w:t>
      </w:r>
      <w:r w:rsidR="00AD3EF1" w:rsidRPr="00685DAE">
        <w:rPr>
          <w:rFonts w:asciiTheme="majorHAnsi" w:hAnsiTheme="majorHAnsi" w:cstheme="majorHAnsi"/>
        </w:rPr>
        <w:t xml:space="preserve"> </w:t>
      </w:r>
      <w:r w:rsidR="00E36F82" w:rsidRPr="00685DAE">
        <w:rPr>
          <w:rFonts w:asciiTheme="majorHAnsi" w:hAnsiTheme="majorHAnsi" w:cstheme="majorHAnsi"/>
        </w:rPr>
        <w:t>The University reserves the right to fill additional teaching assignments from the pool of applicants for this posting.</w:t>
      </w:r>
    </w:p>
    <w:p w14:paraId="0076C36B" w14:textId="77777777" w:rsidR="00685DAE" w:rsidRDefault="00685DAE" w:rsidP="00F37E0E">
      <w:pPr>
        <w:pStyle w:val="Heading2"/>
        <w:rPr>
          <w:rFonts w:asciiTheme="majorHAnsi" w:hAnsiTheme="majorHAnsi" w:cstheme="majorHAnsi"/>
        </w:rPr>
      </w:pPr>
    </w:p>
    <w:p w14:paraId="41DF010A" w14:textId="77777777" w:rsidR="00685DAE" w:rsidRDefault="00685DAE" w:rsidP="00F37E0E">
      <w:pPr>
        <w:pStyle w:val="Heading2"/>
        <w:rPr>
          <w:rFonts w:asciiTheme="majorHAnsi" w:hAnsiTheme="majorHAnsi" w:cstheme="majorHAnsi"/>
        </w:rPr>
      </w:pPr>
    </w:p>
    <w:p w14:paraId="29914674" w14:textId="77777777" w:rsidR="00685DAE" w:rsidRDefault="00685DAE" w:rsidP="00F37E0E">
      <w:pPr>
        <w:pStyle w:val="Heading2"/>
        <w:rPr>
          <w:rFonts w:asciiTheme="majorHAnsi" w:hAnsiTheme="majorHAnsi" w:cstheme="majorHAnsi"/>
        </w:rPr>
      </w:pPr>
    </w:p>
    <w:p w14:paraId="2E4331EE" w14:textId="2337AA69" w:rsidR="00DB38BE" w:rsidRPr="00685DAE" w:rsidRDefault="00DB38BE" w:rsidP="00F37E0E">
      <w:pPr>
        <w:pStyle w:val="Heading2"/>
        <w:rPr>
          <w:rFonts w:asciiTheme="majorHAnsi" w:hAnsiTheme="majorHAnsi" w:cstheme="majorHAnsi"/>
        </w:rPr>
      </w:pPr>
      <w:r w:rsidRPr="00685DAE">
        <w:rPr>
          <w:rFonts w:asciiTheme="majorHAnsi" w:hAnsiTheme="majorHAnsi" w:cstheme="majorHAnsi"/>
        </w:rPr>
        <w:t xml:space="preserve">On Campus Courses for </w:t>
      </w:r>
      <w:r w:rsidR="0067129D" w:rsidRPr="00685DAE">
        <w:rPr>
          <w:rFonts w:asciiTheme="majorHAnsi" w:hAnsiTheme="majorHAnsi" w:cstheme="majorHAnsi"/>
        </w:rPr>
        <w:t>2017-2018</w:t>
      </w:r>
    </w:p>
    <w:p w14:paraId="62DF4A41" w14:textId="77777777" w:rsidR="00DB38BE" w:rsidRPr="00685DAE" w:rsidRDefault="00DB38BE">
      <w:pPr>
        <w:rPr>
          <w:rFonts w:asciiTheme="majorHAnsi" w:hAnsiTheme="majorHAnsi" w:cstheme="majorHAnsi"/>
          <w:b/>
          <w:szCs w:val="22"/>
        </w:rPr>
      </w:pPr>
      <w:r w:rsidRPr="00685DAE">
        <w:rPr>
          <w:rFonts w:asciiTheme="majorHAnsi" w:hAnsiTheme="majorHAnsi" w:cstheme="majorHAnsi"/>
          <w:b/>
          <w:szCs w:val="22"/>
        </w:rPr>
        <w:t>Fall:</w:t>
      </w:r>
    </w:p>
    <w:p w14:paraId="44E37F87" w14:textId="72C27B5A" w:rsidR="00685DAE" w:rsidRPr="00685DAE" w:rsidRDefault="00685DAE" w:rsidP="00685DAE">
      <w:pPr>
        <w:pStyle w:val="NormalWeb"/>
        <w:rPr>
          <w:rFonts w:asciiTheme="majorHAnsi" w:hAnsiTheme="majorHAnsi" w:cstheme="majorHAnsi"/>
          <w:color w:val="000000"/>
        </w:rPr>
      </w:pPr>
      <w:r w:rsidRPr="00685DAE">
        <w:rPr>
          <w:rFonts w:asciiTheme="majorHAnsi" w:hAnsiTheme="majorHAnsi" w:cstheme="majorHAnsi"/>
          <w:b/>
          <w:color w:val="000000"/>
        </w:rPr>
        <w:t>CYC 152</w:t>
      </w:r>
      <w:r w:rsidRPr="00685DAE">
        <w:rPr>
          <w:rFonts w:asciiTheme="majorHAnsi" w:hAnsiTheme="majorHAnsi" w:cstheme="majorHAnsi"/>
          <w:color w:val="000000"/>
        </w:rPr>
        <w:t xml:space="preserve"> </w:t>
      </w:r>
      <w:r w:rsidRPr="00685DAE">
        <w:rPr>
          <w:rFonts w:asciiTheme="majorHAnsi" w:hAnsiTheme="majorHAnsi" w:cstheme="majorHAnsi"/>
          <w:color w:val="000000"/>
        </w:rPr>
        <w:tab/>
      </w:r>
      <w:r w:rsidRPr="00685DAE">
        <w:rPr>
          <w:rFonts w:asciiTheme="majorHAnsi" w:hAnsiTheme="majorHAnsi" w:cstheme="majorHAnsi"/>
          <w:color w:val="000000"/>
        </w:rPr>
        <w:t>Introduction to Helping Skills in Child and Youth Care Practice</w:t>
      </w:r>
    </w:p>
    <w:p w14:paraId="66A0442B" w14:textId="7887BBB2" w:rsidR="00685DAE" w:rsidRPr="00685DAE" w:rsidRDefault="00685DAE" w:rsidP="00685DAE">
      <w:pPr>
        <w:pStyle w:val="NormalWeb"/>
        <w:rPr>
          <w:rFonts w:asciiTheme="majorHAnsi" w:hAnsiTheme="majorHAnsi" w:cstheme="majorHAnsi"/>
          <w:color w:val="000000"/>
        </w:rPr>
      </w:pPr>
      <w:r w:rsidRPr="00685DAE">
        <w:rPr>
          <w:rFonts w:asciiTheme="majorHAnsi" w:hAnsiTheme="majorHAnsi" w:cstheme="majorHAnsi"/>
          <w:b/>
          <w:color w:val="000000"/>
        </w:rPr>
        <w:t>CYC 166A</w:t>
      </w:r>
      <w:r w:rsidRPr="00685DAE">
        <w:rPr>
          <w:rFonts w:asciiTheme="majorHAnsi" w:hAnsiTheme="majorHAnsi" w:cstheme="majorHAnsi"/>
          <w:color w:val="000000"/>
        </w:rPr>
        <w:tab/>
      </w:r>
      <w:r w:rsidRPr="00685DAE">
        <w:rPr>
          <w:rFonts w:asciiTheme="majorHAnsi" w:hAnsiTheme="majorHAnsi" w:cstheme="majorHAnsi"/>
          <w:color w:val="000000"/>
        </w:rPr>
        <w:t>Lifespan Development (Conception to Late Childhood)</w:t>
      </w:r>
    </w:p>
    <w:p w14:paraId="1DC68E3A" w14:textId="191FC482" w:rsidR="0044770B" w:rsidRPr="00685DAE" w:rsidRDefault="0044770B">
      <w:pPr>
        <w:rPr>
          <w:rFonts w:asciiTheme="majorHAnsi" w:hAnsiTheme="majorHAnsi" w:cstheme="majorHAnsi"/>
          <w:szCs w:val="24"/>
        </w:rPr>
      </w:pPr>
    </w:p>
    <w:p w14:paraId="654B0D0D" w14:textId="77777777" w:rsidR="0044770B" w:rsidRPr="00685DAE" w:rsidRDefault="0044770B">
      <w:pPr>
        <w:rPr>
          <w:rFonts w:asciiTheme="majorHAnsi" w:hAnsiTheme="majorHAnsi" w:cstheme="majorHAnsi"/>
          <w:b/>
          <w:szCs w:val="24"/>
        </w:rPr>
      </w:pPr>
      <w:r w:rsidRPr="00685DAE">
        <w:rPr>
          <w:rFonts w:asciiTheme="majorHAnsi" w:hAnsiTheme="majorHAnsi" w:cstheme="majorHAnsi"/>
          <w:b/>
          <w:szCs w:val="24"/>
        </w:rPr>
        <w:t>Spring:</w:t>
      </w:r>
    </w:p>
    <w:p w14:paraId="627DA168" w14:textId="0A3881F2" w:rsidR="00685DAE" w:rsidRPr="00685DAE" w:rsidRDefault="00685DAE" w:rsidP="00685DAE">
      <w:pPr>
        <w:pStyle w:val="NormalWeb"/>
        <w:rPr>
          <w:rFonts w:asciiTheme="majorHAnsi" w:hAnsiTheme="majorHAnsi" w:cstheme="majorHAnsi"/>
          <w:color w:val="000000"/>
        </w:rPr>
      </w:pPr>
      <w:r w:rsidRPr="00685DAE">
        <w:rPr>
          <w:rFonts w:asciiTheme="majorHAnsi" w:hAnsiTheme="majorHAnsi" w:cstheme="majorHAnsi"/>
          <w:b/>
          <w:color w:val="000000"/>
        </w:rPr>
        <w:t>CYC 166B</w:t>
      </w:r>
      <w:r w:rsidRPr="00685DAE">
        <w:rPr>
          <w:rFonts w:asciiTheme="majorHAnsi" w:hAnsiTheme="majorHAnsi" w:cstheme="majorHAnsi"/>
          <w:color w:val="000000"/>
        </w:rPr>
        <w:t xml:space="preserve"> </w:t>
      </w:r>
      <w:r w:rsidRPr="00685DAE">
        <w:rPr>
          <w:rFonts w:asciiTheme="majorHAnsi" w:hAnsiTheme="majorHAnsi" w:cstheme="majorHAnsi"/>
          <w:color w:val="000000"/>
        </w:rPr>
        <w:tab/>
      </w:r>
      <w:r w:rsidRPr="00685DAE">
        <w:rPr>
          <w:rFonts w:asciiTheme="majorHAnsi" w:hAnsiTheme="majorHAnsi" w:cstheme="majorHAnsi"/>
          <w:color w:val="000000"/>
        </w:rPr>
        <w:t>Lifespan Development (Adolescence to Late Adulthood)</w:t>
      </w:r>
    </w:p>
    <w:p w14:paraId="08A60EF1" w14:textId="34DDD225" w:rsidR="00685DAE" w:rsidRPr="00685DAE" w:rsidRDefault="00685DAE" w:rsidP="00685DAE">
      <w:pPr>
        <w:pStyle w:val="NormalWeb"/>
        <w:rPr>
          <w:rFonts w:asciiTheme="majorHAnsi" w:hAnsiTheme="majorHAnsi" w:cstheme="majorHAnsi"/>
          <w:color w:val="000000"/>
        </w:rPr>
      </w:pPr>
      <w:r w:rsidRPr="00685DAE">
        <w:rPr>
          <w:rFonts w:asciiTheme="majorHAnsi" w:hAnsiTheme="majorHAnsi" w:cstheme="majorHAnsi"/>
          <w:b/>
          <w:color w:val="000000"/>
        </w:rPr>
        <w:t>CYC 171</w:t>
      </w:r>
      <w:r w:rsidRPr="00685DAE">
        <w:rPr>
          <w:rFonts w:asciiTheme="majorHAnsi" w:hAnsiTheme="majorHAnsi" w:cstheme="majorHAnsi"/>
          <w:color w:val="000000"/>
        </w:rPr>
        <w:t xml:space="preserve"> </w:t>
      </w:r>
      <w:r w:rsidRPr="00685DAE">
        <w:rPr>
          <w:rFonts w:asciiTheme="majorHAnsi" w:hAnsiTheme="majorHAnsi" w:cstheme="majorHAnsi"/>
          <w:color w:val="000000"/>
        </w:rPr>
        <w:tab/>
      </w:r>
      <w:r w:rsidRPr="00685DAE">
        <w:rPr>
          <w:rFonts w:asciiTheme="majorHAnsi" w:hAnsiTheme="majorHAnsi" w:cstheme="majorHAnsi"/>
          <w:color w:val="000000"/>
        </w:rPr>
        <w:t>Introduction to Families: Issues, Patterns and Processes</w:t>
      </w:r>
    </w:p>
    <w:p w14:paraId="6597E633" w14:textId="3CD395E1" w:rsidR="00685DAE" w:rsidRPr="00685DAE" w:rsidRDefault="00685DAE" w:rsidP="00685DAE">
      <w:pPr>
        <w:pStyle w:val="NormalWeb"/>
        <w:rPr>
          <w:rFonts w:asciiTheme="majorHAnsi" w:hAnsiTheme="majorHAnsi" w:cstheme="majorHAnsi"/>
          <w:color w:val="000000"/>
        </w:rPr>
      </w:pPr>
      <w:r w:rsidRPr="00685DAE">
        <w:rPr>
          <w:rFonts w:asciiTheme="majorHAnsi" w:hAnsiTheme="majorHAnsi" w:cstheme="majorHAnsi"/>
          <w:b/>
          <w:color w:val="000000"/>
        </w:rPr>
        <w:t>CYC 240</w:t>
      </w:r>
      <w:r w:rsidRPr="00685DAE">
        <w:rPr>
          <w:rFonts w:asciiTheme="majorHAnsi" w:hAnsiTheme="majorHAnsi" w:cstheme="majorHAnsi"/>
          <w:color w:val="000000"/>
        </w:rPr>
        <w:t xml:space="preserve"> </w:t>
      </w:r>
      <w:r w:rsidRPr="00685DAE">
        <w:rPr>
          <w:rFonts w:asciiTheme="majorHAnsi" w:hAnsiTheme="majorHAnsi" w:cstheme="majorHAnsi"/>
          <w:color w:val="000000"/>
        </w:rPr>
        <w:tab/>
      </w:r>
      <w:r w:rsidRPr="00685DAE">
        <w:rPr>
          <w:rFonts w:asciiTheme="majorHAnsi" w:hAnsiTheme="majorHAnsi" w:cstheme="majorHAnsi"/>
          <w:color w:val="000000"/>
        </w:rPr>
        <w:t>Ethical Decision-Making in Child and Youth Care Practice</w:t>
      </w:r>
    </w:p>
    <w:p w14:paraId="4A51A1F2" w14:textId="77777777" w:rsidR="00685DAE" w:rsidRDefault="00685DAE" w:rsidP="00685DAE">
      <w:pPr>
        <w:pStyle w:val="NormalWeb"/>
        <w:rPr>
          <w:rFonts w:asciiTheme="majorHAnsi" w:hAnsiTheme="majorHAnsi" w:cstheme="majorHAnsi"/>
          <w:b/>
          <w:color w:val="000000"/>
        </w:rPr>
      </w:pPr>
    </w:p>
    <w:p w14:paraId="0F672AA4" w14:textId="111AC058" w:rsidR="00685DAE" w:rsidRPr="00685DAE" w:rsidRDefault="00685DAE" w:rsidP="00685DAE">
      <w:pPr>
        <w:pStyle w:val="NormalWeb"/>
        <w:rPr>
          <w:rFonts w:asciiTheme="majorHAnsi" w:hAnsiTheme="majorHAnsi" w:cstheme="majorHAnsi"/>
          <w:b/>
          <w:color w:val="000000"/>
        </w:rPr>
      </w:pPr>
      <w:r w:rsidRPr="00685DAE">
        <w:rPr>
          <w:rFonts w:asciiTheme="majorHAnsi" w:hAnsiTheme="majorHAnsi" w:cstheme="majorHAnsi"/>
          <w:b/>
          <w:color w:val="000000"/>
        </w:rPr>
        <w:t>Year Long:</w:t>
      </w:r>
    </w:p>
    <w:p w14:paraId="03DB8F94" w14:textId="1C29BAAC" w:rsidR="00685DAE" w:rsidRPr="00685DAE" w:rsidRDefault="00685DAE" w:rsidP="00685DAE">
      <w:pPr>
        <w:pStyle w:val="NormalWeb"/>
        <w:rPr>
          <w:rFonts w:asciiTheme="majorHAnsi" w:hAnsiTheme="majorHAnsi" w:cstheme="majorHAnsi"/>
          <w:color w:val="000000"/>
        </w:rPr>
      </w:pPr>
      <w:r w:rsidRPr="00685DAE">
        <w:rPr>
          <w:rFonts w:asciiTheme="majorHAnsi" w:hAnsiTheme="majorHAnsi" w:cstheme="majorHAnsi"/>
          <w:b/>
          <w:color w:val="000000"/>
        </w:rPr>
        <w:t>CYC 205</w:t>
      </w:r>
      <w:r w:rsidRPr="00685DAE">
        <w:rPr>
          <w:rFonts w:asciiTheme="majorHAnsi" w:hAnsiTheme="majorHAnsi" w:cstheme="majorHAnsi"/>
          <w:color w:val="000000"/>
        </w:rPr>
        <w:t xml:space="preserve"> </w:t>
      </w:r>
      <w:r w:rsidRPr="00685DAE">
        <w:rPr>
          <w:rFonts w:asciiTheme="majorHAnsi" w:hAnsiTheme="majorHAnsi" w:cstheme="majorHAnsi"/>
          <w:color w:val="000000"/>
        </w:rPr>
        <w:tab/>
      </w:r>
      <w:r w:rsidRPr="00685DAE">
        <w:rPr>
          <w:rFonts w:asciiTheme="majorHAnsi" w:hAnsiTheme="majorHAnsi" w:cstheme="majorHAnsi"/>
          <w:color w:val="000000"/>
        </w:rPr>
        <w:t>Applying Change Theory in CYC Practice</w:t>
      </w:r>
    </w:p>
    <w:p w14:paraId="03AD4592" w14:textId="77777777" w:rsidR="005B0A86" w:rsidRPr="00685DAE" w:rsidRDefault="005B0A86">
      <w:pPr>
        <w:rPr>
          <w:rFonts w:asciiTheme="majorHAnsi" w:hAnsiTheme="majorHAnsi" w:cstheme="majorHAnsi"/>
          <w:b/>
          <w:szCs w:val="24"/>
        </w:rPr>
      </w:pPr>
    </w:p>
    <w:p w14:paraId="2C283CD1" w14:textId="489D7AA8" w:rsidR="0044770B" w:rsidRPr="00685DAE" w:rsidRDefault="0044770B" w:rsidP="00F37E0E">
      <w:pPr>
        <w:pStyle w:val="Heading2"/>
        <w:rPr>
          <w:rFonts w:asciiTheme="majorHAnsi" w:hAnsiTheme="majorHAnsi" w:cstheme="majorHAnsi"/>
          <w:szCs w:val="22"/>
        </w:rPr>
      </w:pPr>
      <w:r w:rsidRPr="00685DAE">
        <w:rPr>
          <w:rFonts w:asciiTheme="majorHAnsi" w:hAnsiTheme="majorHAnsi" w:cstheme="majorHAnsi"/>
          <w:szCs w:val="22"/>
        </w:rPr>
        <w:t xml:space="preserve">Distributed Learning Courses for </w:t>
      </w:r>
      <w:r w:rsidR="0067129D" w:rsidRPr="00685DAE">
        <w:rPr>
          <w:rFonts w:asciiTheme="majorHAnsi" w:hAnsiTheme="majorHAnsi" w:cstheme="majorHAnsi"/>
          <w:szCs w:val="22"/>
        </w:rPr>
        <w:t>2017-2018</w:t>
      </w:r>
    </w:p>
    <w:p w14:paraId="1EB1F2E6" w14:textId="77777777" w:rsidR="0044770B" w:rsidRPr="00685DAE" w:rsidRDefault="0044770B">
      <w:pPr>
        <w:rPr>
          <w:rFonts w:asciiTheme="majorHAnsi" w:hAnsiTheme="majorHAnsi" w:cstheme="majorHAnsi"/>
          <w:b/>
          <w:szCs w:val="22"/>
        </w:rPr>
      </w:pPr>
      <w:r w:rsidRPr="00685DAE">
        <w:rPr>
          <w:rFonts w:asciiTheme="majorHAnsi" w:hAnsiTheme="majorHAnsi" w:cstheme="majorHAnsi"/>
          <w:b/>
          <w:szCs w:val="22"/>
        </w:rPr>
        <w:t>Fall:</w:t>
      </w:r>
    </w:p>
    <w:p w14:paraId="7C68B945" w14:textId="6F0507EA" w:rsidR="0067129D" w:rsidRPr="00685DAE" w:rsidRDefault="0067129D">
      <w:pPr>
        <w:rPr>
          <w:rFonts w:asciiTheme="majorHAnsi" w:hAnsiTheme="majorHAnsi" w:cstheme="majorHAnsi"/>
          <w:szCs w:val="22"/>
        </w:rPr>
      </w:pPr>
      <w:r w:rsidRPr="00685DAE">
        <w:rPr>
          <w:rFonts w:asciiTheme="majorHAnsi" w:hAnsiTheme="majorHAnsi" w:cstheme="majorHAnsi"/>
          <w:b/>
          <w:szCs w:val="22"/>
        </w:rPr>
        <w:t>CYC 100A</w:t>
      </w:r>
      <w:r w:rsidRPr="00685DAE">
        <w:rPr>
          <w:rFonts w:asciiTheme="majorHAnsi" w:hAnsiTheme="majorHAnsi" w:cstheme="majorHAnsi"/>
          <w:b/>
          <w:szCs w:val="22"/>
        </w:rPr>
        <w:tab/>
      </w:r>
      <w:r w:rsidRPr="00685DAE">
        <w:rPr>
          <w:rFonts w:asciiTheme="majorHAnsi" w:hAnsiTheme="majorHAnsi" w:cstheme="majorHAnsi"/>
          <w:szCs w:val="22"/>
        </w:rPr>
        <w:t>Introduction to Professional Child and Youth Care Practice: Part One</w:t>
      </w:r>
    </w:p>
    <w:p w14:paraId="7B2B9C7C" w14:textId="77777777" w:rsidR="0067129D" w:rsidRPr="00685DAE" w:rsidRDefault="0067129D" w:rsidP="0067129D">
      <w:pPr>
        <w:rPr>
          <w:rFonts w:asciiTheme="majorHAnsi" w:hAnsiTheme="majorHAnsi" w:cstheme="majorHAnsi"/>
          <w:szCs w:val="22"/>
        </w:rPr>
      </w:pPr>
      <w:r w:rsidRPr="00685DAE">
        <w:rPr>
          <w:rFonts w:asciiTheme="majorHAnsi" w:hAnsiTheme="majorHAnsi" w:cstheme="majorHAnsi"/>
          <w:b/>
          <w:szCs w:val="22"/>
        </w:rPr>
        <w:t>CYC 152</w:t>
      </w:r>
      <w:r w:rsidRPr="00685DAE">
        <w:rPr>
          <w:rFonts w:asciiTheme="majorHAnsi" w:hAnsiTheme="majorHAnsi" w:cstheme="majorHAnsi"/>
          <w:b/>
          <w:szCs w:val="22"/>
        </w:rPr>
        <w:tab/>
      </w:r>
      <w:r w:rsidRPr="00685DAE">
        <w:rPr>
          <w:rFonts w:asciiTheme="majorHAnsi" w:hAnsiTheme="majorHAnsi" w:cstheme="majorHAnsi"/>
          <w:szCs w:val="22"/>
        </w:rPr>
        <w:t>Introduction to Helping Skills in Child and Youth Care Practice</w:t>
      </w:r>
    </w:p>
    <w:p w14:paraId="6EAA21EE" w14:textId="77777777" w:rsidR="0067129D" w:rsidRPr="00685DAE" w:rsidRDefault="0067129D" w:rsidP="0067129D">
      <w:pPr>
        <w:pStyle w:val="Heading2"/>
        <w:rPr>
          <w:rFonts w:asciiTheme="majorHAnsi" w:hAnsiTheme="majorHAnsi" w:cstheme="majorHAnsi"/>
          <w:b w:val="0"/>
          <w:szCs w:val="22"/>
        </w:rPr>
      </w:pPr>
      <w:r w:rsidRPr="00685DAE">
        <w:rPr>
          <w:rFonts w:asciiTheme="majorHAnsi" w:hAnsiTheme="majorHAnsi" w:cstheme="majorHAnsi"/>
          <w:szCs w:val="22"/>
        </w:rPr>
        <w:t>CYC 166A</w:t>
      </w:r>
      <w:r w:rsidRPr="00685DAE">
        <w:rPr>
          <w:rFonts w:asciiTheme="majorHAnsi" w:hAnsiTheme="majorHAnsi" w:cstheme="majorHAnsi"/>
          <w:b w:val="0"/>
          <w:szCs w:val="22"/>
        </w:rPr>
        <w:tab/>
        <w:t>Lifespan Development (Conception to Late Childhood)</w:t>
      </w:r>
    </w:p>
    <w:p w14:paraId="3C0F4763" w14:textId="77777777" w:rsidR="00196D9D" w:rsidRPr="00685DAE" w:rsidRDefault="00196D9D" w:rsidP="00196D9D">
      <w:pPr>
        <w:rPr>
          <w:rFonts w:asciiTheme="majorHAnsi" w:hAnsiTheme="majorHAnsi" w:cstheme="majorHAnsi"/>
          <w:szCs w:val="22"/>
        </w:rPr>
      </w:pPr>
      <w:r w:rsidRPr="00685DAE">
        <w:rPr>
          <w:rFonts w:asciiTheme="majorHAnsi" w:hAnsiTheme="majorHAnsi" w:cstheme="majorHAnsi"/>
          <w:b/>
          <w:szCs w:val="22"/>
        </w:rPr>
        <w:t>CYC</w:t>
      </w:r>
      <w:r w:rsidRPr="00685DAE">
        <w:rPr>
          <w:rFonts w:asciiTheme="majorHAnsi" w:hAnsiTheme="majorHAnsi" w:cstheme="majorHAnsi"/>
          <w:szCs w:val="22"/>
        </w:rPr>
        <w:t xml:space="preserve"> </w:t>
      </w:r>
      <w:r w:rsidRPr="00685DAE">
        <w:rPr>
          <w:rFonts w:asciiTheme="majorHAnsi" w:hAnsiTheme="majorHAnsi" w:cstheme="majorHAnsi"/>
          <w:b/>
          <w:szCs w:val="22"/>
        </w:rPr>
        <w:t>356</w:t>
      </w:r>
      <w:r w:rsidRPr="00685DAE">
        <w:rPr>
          <w:rFonts w:asciiTheme="majorHAnsi" w:hAnsiTheme="majorHAnsi" w:cstheme="majorHAnsi"/>
          <w:szCs w:val="22"/>
        </w:rPr>
        <w:tab/>
        <w:t>Child and Youth Care Practice with Families</w:t>
      </w:r>
    </w:p>
    <w:p w14:paraId="063FCDD1" w14:textId="77777777" w:rsidR="005B0A86" w:rsidRPr="00685DAE" w:rsidRDefault="005B0A86" w:rsidP="005F1CF3">
      <w:pPr>
        <w:rPr>
          <w:rFonts w:asciiTheme="majorHAnsi" w:hAnsiTheme="majorHAnsi" w:cstheme="majorHAnsi"/>
          <w:szCs w:val="22"/>
        </w:rPr>
      </w:pPr>
      <w:r w:rsidRPr="00685DAE">
        <w:rPr>
          <w:rFonts w:asciiTheme="majorHAnsi" w:hAnsiTheme="majorHAnsi" w:cstheme="majorHAnsi"/>
          <w:b/>
          <w:szCs w:val="22"/>
        </w:rPr>
        <w:t>CYC 370</w:t>
      </w:r>
      <w:r w:rsidRPr="00685DAE">
        <w:rPr>
          <w:rFonts w:asciiTheme="majorHAnsi" w:hAnsiTheme="majorHAnsi" w:cstheme="majorHAnsi"/>
          <w:szCs w:val="22"/>
        </w:rPr>
        <w:tab/>
        <w:t xml:space="preserve">Applying Assessment and Case Planning in Child and Youth Care Practice </w:t>
      </w:r>
    </w:p>
    <w:p w14:paraId="75044F8C" w14:textId="77777777" w:rsidR="00F37E0E" w:rsidRPr="00685DAE" w:rsidRDefault="00F37E0E" w:rsidP="00F37E0E">
      <w:pPr>
        <w:rPr>
          <w:rFonts w:asciiTheme="majorHAnsi" w:hAnsiTheme="majorHAnsi" w:cstheme="majorHAnsi"/>
          <w:b/>
          <w:szCs w:val="22"/>
        </w:rPr>
      </w:pPr>
      <w:r w:rsidRPr="00685DAE">
        <w:rPr>
          <w:rFonts w:asciiTheme="majorHAnsi" w:hAnsiTheme="majorHAnsi" w:cstheme="majorHAnsi"/>
          <w:b/>
          <w:szCs w:val="22"/>
        </w:rPr>
        <w:t>CYC 470</w:t>
      </w:r>
      <w:r w:rsidRPr="00685DAE">
        <w:rPr>
          <w:rFonts w:asciiTheme="majorHAnsi" w:hAnsiTheme="majorHAnsi" w:cstheme="majorHAnsi"/>
          <w:b/>
          <w:szCs w:val="22"/>
        </w:rPr>
        <w:tab/>
      </w:r>
      <w:r w:rsidRPr="00685DAE">
        <w:rPr>
          <w:rFonts w:asciiTheme="majorHAnsi" w:hAnsiTheme="majorHAnsi" w:cstheme="majorHAnsi"/>
          <w:szCs w:val="22"/>
        </w:rPr>
        <w:t>Child and Youth Care Practice in Mental Health Settings</w:t>
      </w:r>
    </w:p>
    <w:p w14:paraId="0F52DA80" w14:textId="77777777" w:rsidR="0044770B" w:rsidRPr="00685DAE" w:rsidRDefault="0044770B">
      <w:pPr>
        <w:rPr>
          <w:rFonts w:asciiTheme="majorHAnsi" w:hAnsiTheme="majorHAnsi" w:cstheme="majorHAnsi"/>
          <w:b/>
          <w:szCs w:val="22"/>
        </w:rPr>
      </w:pPr>
    </w:p>
    <w:p w14:paraId="78951180" w14:textId="77777777" w:rsidR="0044770B" w:rsidRPr="00685DAE" w:rsidRDefault="0044770B">
      <w:pPr>
        <w:rPr>
          <w:rFonts w:asciiTheme="majorHAnsi" w:hAnsiTheme="majorHAnsi" w:cstheme="majorHAnsi"/>
          <w:b/>
          <w:szCs w:val="22"/>
        </w:rPr>
      </w:pPr>
      <w:r w:rsidRPr="00685DAE">
        <w:rPr>
          <w:rFonts w:asciiTheme="majorHAnsi" w:hAnsiTheme="majorHAnsi" w:cstheme="majorHAnsi"/>
          <w:b/>
          <w:szCs w:val="22"/>
        </w:rPr>
        <w:t>Spring:</w:t>
      </w:r>
    </w:p>
    <w:p w14:paraId="43B5AC30" w14:textId="77777777" w:rsidR="0067129D" w:rsidRPr="00685DAE" w:rsidRDefault="0067129D" w:rsidP="0067129D">
      <w:pPr>
        <w:ind w:left="1440" w:hanging="1440"/>
        <w:rPr>
          <w:rFonts w:asciiTheme="majorHAnsi" w:hAnsiTheme="majorHAnsi" w:cstheme="majorHAnsi"/>
          <w:szCs w:val="22"/>
        </w:rPr>
      </w:pPr>
      <w:r w:rsidRPr="00685DAE">
        <w:rPr>
          <w:rFonts w:asciiTheme="majorHAnsi" w:hAnsiTheme="majorHAnsi" w:cstheme="majorHAnsi"/>
          <w:b/>
          <w:szCs w:val="22"/>
        </w:rPr>
        <w:t>CYC 166B</w:t>
      </w:r>
      <w:r w:rsidRPr="00685DAE">
        <w:rPr>
          <w:rFonts w:asciiTheme="majorHAnsi" w:hAnsiTheme="majorHAnsi" w:cstheme="majorHAnsi"/>
          <w:szCs w:val="22"/>
        </w:rPr>
        <w:tab/>
        <w:t>Lifespan Development (Adolescence to Late Adulthood)</w:t>
      </w:r>
    </w:p>
    <w:p w14:paraId="04346F5F" w14:textId="77777777" w:rsidR="000729AB" w:rsidRPr="00685DAE" w:rsidRDefault="000729AB" w:rsidP="00101CB9">
      <w:pPr>
        <w:ind w:left="1440" w:hanging="1440"/>
        <w:rPr>
          <w:rFonts w:asciiTheme="majorHAnsi" w:hAnsiTheme="majorHAnsi" w:cstheme="majorHAnsi"/>
          <w:szCs w:val="22"/>
        </w:rPr>
      </w:pPr>
      <w:r w:rsidRPr="00685DAE">
        <w:rPr>
          <w:rFonts w:asciiTheme="majorHAnsi" w:hAnsiTheme="majorHAnsi" w:cstheme="majorHAnsi"/>
          <w:b/>
          <w:szCs w:val="22"/>
        </w:rPr>
        <w:t>CYC 265</w:t>
      </w:r>
      <w:r w:rsidRPr="00685DAE">
        <w:rPr>
          <w:rFonts w:asciiTheme="majorHAnsi" w:hAnsiTheme="majorHAnsi" w:cstheme="majorHAnsi"/>
          <w:b/>
          <w:szCs w:val="22"/>
        </w:rPr>
        <w:tab/>
      </w:r>
      <w:r w:rsidRPr="00685DAE">
        <w:rPr>
          <w:rFonts w:asciiTheme="majorHAnsi" w:hAnsiTheme="majorHAnsi" w:cstheme="majorHAnsi"/>
          <w:szCs w:val="22"/>
        </w:rPr>
        <w:t>Introduction to Group Work in Child and Youth Care Practice</w:t>
      </w:r>
    </w:p>
    <w:p w14:paraId="7A08AA2B" w14:textId="761A1F79" w:rsidR="0067129D" w:rsidRPr="00685DAE" w:rsidRDefault="005B0A86">
      <w:pPr>
        <w:rPr>
          <w:rFonts w:asciiTheme="majorHAnsi" w:hAnsiTheme="majorHAnsi" w:cstheme="majorHAnsi"/>
          <w:szCs w:val="22"/>
        </w:rPr>
      </w:pPr>
      <w:r w:rsidRPr="00685DAE">
        <w:rPr>
          <w:rFonts w:asciiTheme="majorHAnsi" w:hAnsiTheme="majorHAnsi" w:cstheme="majorHAnsi"/>
          <w:b/>
          <w:szCs w:val="22"/>
        </w:rPr>
        <w:t>CYC 364</w:t>
      </w:r>
      <w:r w:rsidRPr="00685DAE">
        <w:rPr>
          <w:rFonts w:asciiTheme="majorHAnsi" w:hAnsiTheme="majorHAnsi" w:cstheme="majorHAnsi"/>
          <w:b/>
          <w:szCs w:val="22"/>
        </w:rPr>
        <w:tab/>
      </w:r>
      <w:r w:rsidRPr="00685DAE">
        <w:rPr>
          <w:rFonts w:asciiTheme="majorHAnsi" w:hAnsiTheme="majorHAnsi" w:cstheme="majorHAnsi"/>
          <w:szCs w:val="22"/>
        </w:rPr>
        <w:t>Disability and Child and Youth Care Practice</w:t>
      </w:r>
    </w:p>
    <w:p w14:paraId="6336671B" w14:textId="77777777" w:rsidR="00196D9D" w:rsidRPr="00685DAE" w:rsidRDefault="00196D9D">
      <w:pPr>
        <w:rPr>
          <w:rFonts w:asciiTheme="majorHAnsi" w:hAnsiTheme="majorHAnsi" w:cstheme="majorHAnsi"/>
          <w:szCs w:val="22"/>
        </w:rPr>
      </w:pPr>
    </w:p>
    <w:sectPr w:rsidR="00196D9D" w:rsidRPr="00685DAE">
      <w:pgSz w:w="12240" w:h="15840"/>
      <w:pgMar w:top="108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C5"/>
    <w:rsid w:val="000729AB"/>
    <w:rsid w:val="000A402A"/>
    <w:rsid w:val="00101CB9"/>
    <w:rsid w:val="00196D9D"/>
    <w:rsid w:val="001B4974"/>
    <w:rsid w:val="002531C5"/>
    <w:rsid w:val="002C1342"/>
    <w:rsid w:val="0030055A"/>
    <w:rsid w:val="0044770B"/>
    <w:rsid w:val="00461EF4"/>
    <w:rsid w:val="004C546B"/>
    <w:rsid w:val="005B0A86"/>
    <w:rsid w:val="005F1CF3"/>
    <w:rsid w:val="0066767F"/>
    <w:rsid w:val="0067129D"/>
    <w:rsid w:val="00685DAE"/>
    <w:rsid w:val="007329EF"/>
    <w:rsid w:val="00740679"/>
    <w:rsid w:val="008833FE"/>
    <w:rsid w:val="00921E02"/>
    <w:rsid w:val="00925265"/>
    <w:rsid w:val="00966900"/>
    <w:rsid w:val="00994D1D"/>
    <w:rsid w:val="009D2A54"/>
    <w:rsid w:val="00AC60CF"/>
    <w:rsid w:val="00AD3EF1"/>
    <w:rsid w:val="00B318DE"/>
    <w:rsid w:val="00C57984"/>
    <w:rsid w:val="00DB38BE"/>
    <w:rsid w:val="00E255E4"/>
    <w:rsid w:val="00E32D9F"/>
    <w:rsid w:val="00E36F82"/>
    <w:rsid w:val="00EA5ACF"/>
    <w:rsid w:val="00EE76A6"/>
    <w:rsid w:val="00EF289F"/>
    <w:rsid w:val="00F37E0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E90AAA"/>
  <w14:defaultImageDpi w14:val="300"/>
  <w15:docId w15:val="{531B0BE3-B3EA-4E4C-8CCB-C0142103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jc w:val="center"/>
      <w:outlineLvl w:val="0"/>
    </w:pPr>
    <w:rPr>
      <w:rFonts w:ascii="Comic Sans MS" w:eastAsia="Times New Roman" w:hAnsi="Comic Sans MS"/>
      <w:b/>
      <w:sz w:val="22"/>
    </w:rPr>
  </w:style>
  <w:style w:type="paragraph" w:styleId="Heading2">
    <w:name w:val="heading 2"/>
    <w:basedOn w:val="Normal"/>
    <w:next w:val="Normal"/>
    <w:qFormat/>
    <w:pPr>
      <w:keepNext/>
      <w:outlineLvl w:val="1"/>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ind w:right="-450"/>
    </w:pPr>
    <w:rPr>
      <w:rFonts w:ascii="Palatino" w:eastAsia="Times New Roman" w:hAnsi="Palatino"/>
      <w:sz w:val="22"/>
    </w:rPr>
  </w:style>
  <w:style w:type="paragraph" w:styleId="BodyTextIndent">
    <w:name w:val="Body Text Indent"/>
    <w:basedOn w:val="Normal"/>
    <w:pPr>
      <w:ind w:left="720"/>
    </w:pPr>
    <w:rPr>
      <w:rFonts w:ascii="Palatino" w:hAnsi="Palatino"/>
      <w:sz w:val="22"/>
    </w:rPr>
  </w:style>
  <w:style w:type="paragraph" w:styleId="BalloonText">
    <w:name w:val="Balloon Text"/>
    <w:basedOn w:val="Normal"/>
    <w:link w:val="BalloonTextChar"/>
    <w:uiPriority w:val="99"/>
    <w:semiHidden/>
    <w:unhideWhenUsed/>
    <w:rsid w:val="00921E02"/>
    <w:rPr>
      <w:rFonts w:ascii="Lucida Grande" w:hAnsi="Lucida Grande"/>
      <w:sz w:val="18"/>
      <w:szCs w:val="18"/>
    </w:rPr>
  </w:style>
  <w:style w:type="character" w:customStyle="1" w:styleId="BalloonTextChar">
    <w:name w:val="Balloon Text Char"/>
    <w:basedOn w:val="DefaultParagraphFont"/>
    <w:link w:val="BalloonText"/>
    <w:uiPriority w:val="99"/>
    <w:semiHidden/>
    <w:rsid w:val="00921E02"/>
    <w:rPr>
      <w:rFonts w:ascii="Lucida Grande" w:hAnsi="Lucida Grande"/>
      <w:sz w:val="18"/>
      <w:szCs w:val="18"/>
    </w:rPr>
  </w:style>
  <w:style w:type="paragraph" w:styleId="NormalWeb">
    <w:name w:val="Normal (Web)"/>
    <w:basedOn w:val="Normal"/>
    <w:uiPriority w:val="99"/>
    <w:semiHidden/>
    <w:unhideWhenUsed/>
    <w:rsid w:val="00685DAE"/>
    <w:rPr>
      <w:rFonts w:ascii="Times New Roman" w:eastAsiaTheme="minorHAnsi"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9120">
      <w:bodyDiv w:val="1"/>
      <w:marLeft w:val="0"/>
      <w:marRight w:val="0"/>
      <w:marTop w:val="0"/>
      <w:marBottom w:val="0"/>
      <w:divBdr>
        <w:top w:val="none" w:sz="0" w:space="0" w:color="auto"/>
        <w:left w:val="none" w:sz="0" w:space="0" w:color="auto"/>
        <w:bottom w:val="none" w:sz="0" w:space="0" w:color="auto"/>
        <w:right w:val="none" w:sz="0" w:space="0" w:color="auto"/>
      </w:divBdr>
    </w:div>
    <w:div w:id="11932292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University of Victoria</Company>
  <LinksUpToDate>false</LinksUpToDate>
  <CharactersWithSpaces>4235</CharactersWithSpaces>
  <SharedDoc>false</SharedDoc>
  <HLinks>
    <vt:vector size="6" baseType="variant">
      <vt:variant>
        <vt:i4>5832715</vt:i4>
      </vt:variant>
      <vt:variant>
        <vt:i4>2049</vt:i4>
      </vt:variant>
      <vt:variant>
        <vt:i4>1025</vt:i4>
      </vt:variant>
      <vt:variant>
        <vt:i4>1</vt:i4>
      </vt:variant>
      <vt:variant>
        <vt:lpwstr>cyc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Angela Cliff</dc:creator>
  <cp:keywords/>
  <cp:lastModifiedBy>kelt</cp:lastModifiedBy>
  <cp:revision>6</cp:revision>
  <cp:lastPrinted>2017-04-24T19:21:00Z</cp:lastPrinted>
  <dcterms:created xsi:type="dcterms:W3CDTF">2017-04-24T18:09:00Z</dcterms:created>
  <dcterms:modified xsi:type="dcterms:W3CDTF">2017-06-23T17:02:00Z</dcterms:modified>
</cp:coreProperties>
</file>